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36EC" w14:textId="77777777" w:rsidR="00796595" w:rsidRPr="0011398A" w:rsidRDefault="00442578" w:rsidP="00796595">
      <w:pPr>
        <w:rPr>
          <w:rFonts w:ascii="Consolas" w:hAnsi="Consolas" w:cs="Consolas"/>
          <w:color w:val="943634" w:themeColor="accent2" w:themeShade="BF"/>
          <w:sz w:val="32"/>
          <w:szCs w:val="32"/>
        </w:rPr>
      </w:pPr>
      <w:bookmarkStart w:id="0" w:name="_Toc297973841"/>
      <w:bookmarkStart w:id="1" w:name="_GoBack"/>
      <w:bookmarkEnd w:id="1"/>
      <w:r w:rsidRPr="0011398A">
        <w:rPr>
          <w:rFonts w:ascii="Consolas" w:hAnsi="Consolas" w:cs="Consolas"/>
          <w:color w:val="943634" w:themeColor="accent2" w:themeShade="BF"/>
          <w:sz w:val="32"/>
          <w:szCs w:val="32"/>
        </w:rPr>
        <w:t>SCHEDULE I – ADDENDUM TO THE NATIONAL HEALTH REFORM AGREEMENT: REVISED PUBLIC HOSPITAL ARRANGEMENTS</w:t>
      </w:r>
    </w:p>
    <w:p w14:paraId="542E36ED" w14:textId="77777777" w:rsidR="00796595" w:rsidRDefault="00796595" w:rsidP="00796595">
      <w:pPr>
        <w:pStyle w:val="Heading2"/>
        <w:rPr>
          <w:color w:val="3D4B67"/>
        </w:rPr>
      </w:pPr>
      <w:r w:rsidRPr="00D9022E">
        <w:rPr>
          <w:color w:val="3D4B67"/>
        </w:rPr>
        <w:t>Preliminaries</w:t>
      </w:r>
    </w:p>
    <w:p w14:paraId="542E36EE" w14:textId="77777777" w:rsidR="00442578" w:rsidRDefault="00442578" w:rsidP="0011398A">
      <w:pPr>
        <w:pStyle w:val="Normalnumbered"/>
        <w:numPr>
          <w:ilvl w:val="0"/>
          <w:numId w:val="1"/>
        </w:numPr>
      </w:pPr>
      <w:r w:rsidRPr="00442578">
        <w:t xml:space="preserve">Notwithstanding Clauses 19 and 20 of the National Health Reform Agreement (the Agreement), </w:t>
      </w:r>
      <w:r>
        <w:t xml:space="preserve">the </w:t>
      </w:r>
      <w:r w:rsidRPr="00442578">
        <w:t>Parties agree to amend the Agreement with this Schedule.</w:t>
      </w:r>
    </w:p>
    <w:p w14:paraId="542E36EF" w14:textId="77777777" w:rsidR="0066424A" w:rsidRDefault="0066424A" w:rsidP="0066424A">
      <w:pPr>
        <w:pStyle w:val="Normalnumbered"/>
        <w:numPr>
          <w:ilvl w:val="0"/>
          <w:numId w:val="1"/>
        </w:numPr>
      </w:pPr>
      <w:r>
        <w:t>This schedule:</w:t>
      </w:r>
    </w:p>
    <w:p w14:paraId="542E36F0" w14:textId="77777777" w:rsidR="0066424A" w:rsidRDefault="0066424A" w:rsidP="0066424A">
      <w:pPr>
        <w:pStyle w:val="Normalnumbered"/>
        <w:numPr>
          <w:ilvl w:val="1"/>
          <w:numId w:val="1"/>
        </w:numPr>
      </w:pPr>
      <w:r>
        <w:t>reiterates</w:t>
      </w:r>
      <w:r w:rsidRPr="00080A0C">
        <w:t xml:space="preserve"> the shared commitment of </w:t>
      </w:r>
      <w:r>
        <w:t>P</w:t>
      </w:r>
      <w:r w:rsidRPr="00080A0C">
        <w:t>arties to improve health outcomes for all Australians and ensure the sustainability of the Australian health system</w:t>
      </w:r>
      <w:r>
        <w:t>;</w:t>
      </w:r>
    </w:p>
    <w:p w14:paraId="542E36F1" w14:textId="77777777" w:rsidR="0066424A" w:rsidRDefault="0066424A" w:rsidP="0066424A">
      <w:pPr>
        <w:pStyle w:val="Normalnumbered"/>
        <w:numPr>
          <w:ilvl w:val="1"/>
          <w:numId w:val="1"/>
        </w:numPr>
      </w:pPr>
      <w:r>
        <w:t xml:space="preserve">implements the arrangements outlined in the </w:t>
      </w:r>
      <w:r w:rsidRPr="00080A0C">
        <w:t>Heads of Agreement between the Commonwealth and the States and Territories on Public Hospital Funding</w:t>
      </w:r>
      <w:r>
        <w:t xml:space="preserve"> (the Heads of Agreement) as agreed by COAG in April 2016;</w:t>
      </w:r>
    </w:p>
    <w:p w14:paraId="542E36F2" w14:textId="77777777" w:rsidR="0066424A" w:rsidRDefault="0066424A" w:rsidP="0066424A">
      <w:pPr>
        <w:pStyle w:val="Normalnumbered"/>
        <w:numPr>
          <w:ilvl w:val="1"/>
          <w:numId w:val="1"/>
        </w:numPr>
      </w:pPr>
      <w:r>
        <w:t xml:space="preserve">affirms the Parties agreement to the Medicare principles at Clause 4 of the Agreement; </w:t>
      </w:r>
    </w:p>
    <w:p w14:paraId="542E36F3" w14:textId="77777777" w:rsidR="0066424A" w:rsidRDefault="0066424A" w:rsidP="0066424A">
      <w:pPr>
        <w:pStyle w:val="Normalnumbered"/>
        <w:numPr>
          <w:ilvl w:val="1"/>
          <w:numId w:val="1"/>
        </w:numPr>
      </w:pPr>
      <w:r w:rsidRPr="006332EE">
        <w:t xml:space="preserve">sets out the shared commitment of Parties to develop and implement reforms to improve health outcomes for patients and decrease </w:t>
      </w:r>
      <w:r>
        <w:t xml:space="preserve">potentially avoidable </w:t>
      </w:r>
      <w:r w:rsidRPr="006332EE">
        <w:t xml:space="preserve">demand for </w:t>
      </w:r>
      <w:r>
        <w:t>public hospital</w:t>
      </w:r>
      <w:r w:rsidRPr="006332EE">
        <w:t xml:space="preserve"> services</w:t>
      </w:r>
      <w:r>
        <w:t xml:space="preserve">; </w:t>
      </w:r>
    </w:p>
    <w:p w14:paraId="542E36F4" w14:textId="77777777" w:rsidR="0066424A" w:rsidRPr="006332EE" w:rsidRDefault="0066424A" w:rsidP="0066424A">
      <w:pPr>
        <w:pStyle w:val="Normalnumbered"/>
        <w:numPr>
          <w:ilvl w:val="1"/>
          <w:numId w:val="1"/>
        </w:numPr>
      </w:pPr>
      <w:r>
        <w:t>acknowledges the Roles and Responsibilities of the Parties outlined in the Agreement;</w:t>
      </w:r>
    </w:p>
    <w:p w14:paraId="542E36F5" w14:textId="77777777" w:rsidR="0066424A" w:rsidRDefault="0066424A" w:rsidP="0066424A">
      <w:pPr>
        <w:pStyle w:val="Normalnumbered"/>
        <w:numPr>
          <w:ilvl w:val="1"/>
          <w:numId w:val="1"/>
        </w:numPr>
      </w:pPr>
      <w:r>
        <w:t>supersedes the Heads of Agreement agreed by COAG in April 2016;</w:t>
      </w:r>
      <w:r w:rsidRPr="00C01B9B">
        <w:t xml:space="preserve"> </w:t>
      </w:r>
    </w:p>
    <w:p w14:paraId="542E36F6" w14:textId="77777777" w:rsidR="0066424A" w:rsidRDefault="0066424A" w:rsidP="0066424A">
      <w:pPr>
        <w:pStyle w:val="Normalnumbered"/>
        <w:numPr>
          <w:ilvl w:val="1"/>
          <w:numId w:val="1"/>
        </w:numPr>
      </w:pPr>
      <w:r>
        <w:t xml:space="preserve">builds on and complements the policy and reform direction in the National Healthcare Agreement (agreed by COAG in 2008 and amended in July 2011) and the </w:t>
      </w:r>
      <w:r>
        <w:rPr>
          <w:i/>
        </w:rPr>
        <w:t>National Health Reform Act 2011</w:t>
      </w:r>
      <w:r>
        <w:t xml:space="preserve"> (Cth); and</w:t>
      </w:r>
    </w:p>
    <w:p w14:paraId="542E36F7" w14:textId="77777777" w:rsidR="0066424A" w:rsidRDefault="0066424A" w:rsidP="0066424A">
      <w:pPr>
        <w:pStyle w:val="Normalnumbered"/>
        <w:numPr>
          <w:ilvl w:val="1"/>
          <w:numId w:val="1"/>
        </w:numPr>
      </w:pPr>
      <w:r>
        <w:t>is subject to the Intergovernmental Agreement on Federal Financial Relations.</w:t>
      </w:r>
    </w:p>
    <w:p w14:paraId="542E36F8" w14:textId="77777777" w:rsidR="00442578" w:rsidRDefault="00442578" w:rsidP="0011398A">
      <w:pPr>
        <w:pStyle w:val="Normalnumbered"/>
        <w:numPr>
          <w:ilvl w:val="0"/>
          <w:numId w:val="1"/>
        </w:numPr>
      </w:pPr>
      <w:r>
        <w:t>This Schedule is divided into two parts:</w:t>
      </w:r>
    </w:p>
    <w:p w14:paraId="542E36F9" w14:textId="77777777" w:rsidR="00442578" w:rsidRPr="007139EA" w:rsidRDefault="00442578" w:rsidP="0011398A">
      <w:pPr>
        <w:pStyle w:val="Normalnumbered"/>
        <w:numPr>
          <w:ilvl w:val="1"/>
          <w:numId w:val="1"/>
        </w:numPr>
      </w:pPr>
      <w:r w:rsidRPr="007139EA">
        <w:t xml:space="preserve">Part A </w:t>
      </w:r>
      <w:r w:rsidR="00EB3AB3" w:rsidRPr="007139EA">
        <w:t>(Clause I5</w:t>
      </w:r>
      <w:r w:rsidR="009161F1" w:rsidRPr="007139EA">
        <w:t xml:space="preserve"> to I6</w:t>
      </w:r>
      <w:r w:rsidR="00EB3AB3" w:rsidRPr="007139EA">
        <w:t xml:space="preserve">) </w:t>
      </w:r>
      <w:r w:rsidRPr="007139EA">
        <w:t>outlines the agreed amendments to the Agreement and schedules; and</w:t>
      </w:r>
    </w:p>
    <w:p w14:paraId="542E36FA" w14:textId="77777777" w:rsidR="00442578" w:rsidRDefault="00442578" w:rsidP="0011398A">
      <w:pPr>
        <w:pStyle w:val="Normalnumbered"/>
        <w:numPr>
          <w:ilvl w:val="1"/>
          <w:numId w:val="1"/>
        </w:numPr>
      </w:pPr>
      <w:r>
        <w:t xml:space="preserve">Part B </w:t>
      </w:r>
      <w:r w:rsidR="00EB3AB3">
        <w:t xml:space="preserve">(Clauses </w:t>
      </w:r>
      <w:r w:rsidR="00EB3AB3" w:rsidRPr="007139EA">
        <w:t>I</w:t>
      </w:r>
      <w:r w:rsidR="00BD4B6F" w:rsidRPr="007139EA">
        <w:t>7</w:t>
      </w:r>
      <w:r w:rsidR="00EB3AB3" w:rsidRPr="007139EA">
        <w:t xml:space="preserve"> to I</w:t>
      </w:r>
      <w:r w:rsidR="00BD4B6F" w:rsidRPr="007139EA">
        <w:t>9</w:t>
      </w:r>
      <w:r w:rsidR="007139EA" w:rsidRPr="007139EA">
        <w:t>2</w:t>
      </w:r>
      <w:r w:rsidR="00EB3AB3" w:rsidRPr="007139EA">
        <w:t xml:space="preserve">) </w:t>
      </w:r>
      <w:r w:rsidRPr="007139EA">
        <w:t>outlines</w:t>
      </w:r>
      <w:r>
        <w:t xml:space="preserve"> time-limited arrangements</w:t>
      </w:r>
      <w:r w:rsidR="00A96CB0">
        <w:t xml:space="preserve"> that supplement and to the extent of any inconsistency</w:t>
      </w:r>
      <w:r>
        <w:t xml:space="preserve"> take</w:t>
      </w:r>
      <w:r w:rsidRPr="00442578">
        <w:t xml:space="preserve"> precedence over the remainder of the Agreement (including Schedules A – H</w:t>
      </w:r>
      <w:r w:rsidR="00D13F13">
        <w:t xml:space="preserve"> and Part A of Schedule I</w:t>
      </w:r>
      <w:r w:rsidRPr="00442578">
        <w:t>) from 1</w:t>
      </w:r>
      <w:r w:rsidR="00B95CA0">
        <w:t> </w:t>
      </w:r>
      <w:r w:rsidRPr="00442578">
        <w:t>July</w:t>
      </w:r>
      <w:r w:rsidR="00B95CA0">
        <w:t> </w:t>
      </w:r>
      <w:r w:rsidRPr="00442578">
        <w:t xml:space="preserve">2017 to 30 June 2020, recognising any adjustments arising from </w:t>
      </w:r>
      <w:r w:rsidR="00DF702A">
        <w:t>R</w:t>
      </w:r>
      <w:r w:rsidRPr="00442578">
        <w:t>econciliation will occur in the 2020-21 financial year.</w:t>
      </w:r>
    </w:p>
    <w:p w14:paraId="542E36FB" w14:textId="77777777" w:rsidR="005D5A46" w:rsidRPr="000A6E48" w:rsidRDefault="00442578" w:rsidP="000A6E48">
      <w:pPr>
        <w:pStyle w:val="Normalnumbered"/>
        <w:numPr>
          <w:ilvl w:val="0"/>
          <w:numId w:val="1"/>
        </w:numPr>
      </w:pPr>
      <w:r w:rsidRPr="00B12E4C">
        <w:t xml:space="preserve">The Parties acknowledge </w:t>
      </w:r>
      <w:r>
        <w:t>this Schedule</w:t>
      </w:r>
      <w:r w:rsidRPr="00B12E4C">
        <w:t xml:space="preserve"> anticipates the development of a longer-term public hospital funding agreement to commence 1</w:t>
      </w:r>
      <w:r>
        <w:t> </w:t>
      </w:r>
      <w:r w:rsidRPr="00B12E4C">
        <w:t>July</w:t>
      </w:r>
      <w:r>
        <w:t> </w:t>
      </w:r>
      <w:r w:rsidRPr="00B12E4C">
        <w:t xml:space="preserve">2020. This agreement will be developed by the Commonwealth and all jurisdictions and be </w:t>
      </w:r>
      <w:r w:rsidR="008F38D6">
        <w:t xml:space="preserve">agreed </w:t>
      </w:r>
      <w:r>
        <w:t xml:space="preserve">by COAG </w:t>
      </w:r>
      <w:r w:rsidR="008F38D6">
        <w:t>in</w:t>
      </w:r>
      <w:r>
        <w:t xml:space="preserve"> 2018.</w:t>
      </w:r>
      <w:r w:rsidR="005D5A46" w:rsidRPr="000A6E48">
        <w:br w:type="page"/>
      </w:r>
    </w:p>
    <w:p w14:paraId="542E36FC" w14:textId="77777777" w:rsidR="00442578" w:rsidRPr="0011398A" w:rsidRDefault="00442578" w:rsidP="00442578">
      <w:pPr>
        <w:pStyle w:val="Heading2"/>
        <w:rPr>
          <w:color w:val="632423" w:themeColor="accent2" w:themeShade="80"/>
          <w:sz w:val="32"/>
          <w:szCs w:val="32"/>
        </w:rPr>
      </w:pPr>
      <w:r w:rsidRPr="0011398A">
        <w:rPr>
          <w:color w:val="632423" w:themeColor="accent2" w:themeShade="80"/>
          <w:sz w:val="32"/>
          <w:szCs w:val="32"/>
        </w:rPr>
        <w:lastRenderedPageBreak/>
        <w:t>Part A: Variations to the Agreement</w:t>
      </w:r>
    </w:p>
    <w:p w14:paraId="542E36FD" w14:textId="77777777" w:rsidR="00442578" w:rsidRDefault="00442578" w:rsidP="0011398A">
      <w:pPr>
        <w:pStyle w:val="Normalnumbered"/>
        <w:numPr>
          <w:ilvl w:val="0"/>
          <w:numId w:val="1"/>
        </w:numPr>
      </w:pPr>
      <w:r>
        <w:t>Parties agree to amend the Agreement and schedules as follows:</w:t>
      </w:r>
    </w:p>
    <w:tbl>
      <w:tblPr>
        <w:tblStyle w:val="TableGrid"/>
        <w:tblW w:w="0" w:type="auto"/>
        <w:tblLayout w:type="fixed"/>
        <w:tblLook w:val="04A0" w:firstRow="1" w:lastRow="0" w:firstColumn="1" w:lastColumn="0" w:noHBand="0" w:noVBand="1"/>
      </w:tblPr>
      <w:tblGrid>
        <w:gridCol w:w="3794"/>
        <w:gridCol w:w="5448"/>
      </w:tblGrid>
      <w:tr w:rsidR="00442578" w14:paraId="542E3700" w14:textId="77777777" w:rsidTr="002B5672">
        <w:trPr>
          <w:cantSplit/>
        </w:trPr>
        <w:tc>
          <w:tcPr>
            <w:tcW w:w="3794" w:type="dxa"/>
            <w:shd w:val="clear" w:color="auto" w:fill="F2F2F2" w:themeFill="background1" w:themeFillShade="F2"/>
          </w:tcPr>
          <w:p w14:paraId="542E36FE" w14:textId="77777777" w:rsidR="00442578" w:rsidRPr="0011398A" w:rsidRDefault="00442578" w:rsidP="00442578">
            <w:pPr>
              <w:rPr>
                <w:b/>
                <w:lang w:eastAsia="en-AU"/>
              </w:rPr>
            </w:pPr>
            <w:r w:rsidRPr="0011398A">
              <w:rPr>
                <w:b/>
                <w:lang w:eastAsia="en-AU"/>
              </w:rPr>
              <w:t>Former clause</w:t>
            </w:r>
          </w:p>
        </w:tc>
        <w:tc>
          <w:tcPr>
            <w:tcW w:w="5448" w:type="dxa"/>
            <w:shd w:val="clear" w:color="auto" w:fill="F2F2F2" w:themeFill="background1" w:themeFillShade="F2"/>
          </w:tcPr>
          <w:p w14:paraId="542E36FF" w14:textId="77777777" w:rsidR="00442578" w:rsidRPr="0011398A" w:rsidRDefault="00442578" w:rsidP="00442578">
            <w:pPr>
              <w:rPr>
                <w:b/>
                <w:lang w:eastAsia="en-AU"/>
              </w:rPr>
            </w:pPr>
            <w:r w:rsidRPr="0011398A">
              <w:rPr>
                <w:b/>
                <w:lang w:eastAsia="en-AU"/>
              </w:rPr>
              <w:t>Varied clause</w:t>
            </w:r>
          </w:p>
        </w:tc>
      </w:tr>
      <w:tr w:rsidR="00442578" w14:paraId="542E3705" w14:textId="77777777" w:rsidTr="002B5672">
        <w:trPr>
          <w:cantSplit/>
        </w:trPr>
        <w:tc>
          <w:tcPr>
            <w:tcW w:w="3794" w:type="dxa"/>
          </w:tcPr>
          <w:p w14:paraId="542E3701" w14:textId="77777777" w:rsidR="00442578" w:rsidRDefault="00442578">
            <w:pPr>
              <w:spacing w:line="276" w:lineRule="auto"/>
              <w:rPr>
                <w:b/>
                <w:szCs w:val="24"/>
              </w:rPr>
            </w:pPr>
            <w:r>
              <w:rPr>
                <w:b/>
                <w:szCs w:val="24"/>
              </w:rPr>
              <w:t>Clause 1</w:t>
            </w:r>
          </w:p>
          <w:p w14:paraId="542E3702" w14:textId="77777777" w:rsidR="00442578" w:rsidRDefault="00442578" w:rsidP="00442578">
            <w:pPr>
              <w:rPr>
                <w:lang w:eastAsia="en-AU"/>
              </w:rPr>
            </w:pPr>
          </w:p>
        </w:tc>
        <w:tc>
          <w:tcPr>
            <w:tcW w:w="5448" w:type="dxa"/>
          </w:tcPr>
          <w:p w14:paraId="542E3703" w14:textId="77777777" w:rsidR="00442578" w:rsidRDefault="00442578">
            <w:pPr>
              <w:spacing w:line="276" w:lineRule="auto"/>
              <w:rPr>
                <w:b/>
                <w:szCs w:val="24"/>
              </w:rPr>
            </w:pPr>
            <w:r>
              <w:rPr>
                <w:b/>
                <w:szCs w:val="24"/>
              </w:rPr>
              <w:t>Clause 1 –addition of:</w:t>
            </w:r>
          </w:p>
          <w:p w14:paraId="542E3704" w14:textId="77777777" w:rsidR="00442578" w:rsidRPr="00F943B5" w:rsidRDefault="00442578" w:rsidP="006D076A">
            <w:pPr>
              <w:pStyle w:val="ListParagraph"/>
              <w:numPr>
                <w:ilvl w:val="0"/>
                <w:numId w:val="25"/>
              </w:numPr>
              <w:spacing w:after="120" w:line="240" w:lineRule="auto"/>
              <w:ind w:left="714" w:hanging="357"/>
              <w:rPr>
                <w:sz w:val="24"/>
                <w:szCs w:val="24"/>
                <w:lang w:eastAsia="en-AU"/>
              </w:rPr>
            </w:pPr>
            <w:r w:rsidRPr="00F943B5">
              <w:rPr>
                <w:color w:val="000000" w:themeColor="text1"/>
                <w:sz w:val="24"/>
                <w:szCs w:val="24"/>
              </w:rPr>
              <w:t xml:space="preserve">is subject to Schedule I, which sets out variations to this Agreement and arrangements for public hospital funding for the period 1 July 2017 to 30 June 2020. In the event of inconsistency between </w:t>
            </w:r>
            <w:r w:rsidR="006D076A">
              <w:rPr>
                <w:color w:val="000000" w:themeColor="text1"/>
                <w:sz w:val="24"/>
                <w:szCs w:val="24"/>
              </w:rPr>
              <w:t xml:space="preserve">Part B of </w:t>
            </w:r>
            <w:r w:rsidRPr="00F943B5">
              <w:rPr>
                <w:color w:val="000000" w:themeColor="text1"/>
                <w:sz w:val="24"/>
                <w:szCs w:val="24"/>
              </w:rPr>
              <w:t xml:space="preserve">Schedule I and the remainder of this Agreement during this period, </w:t>
            </w:r>
            <w:r w:rsidR="006D076A">
              <w:rPr>
                <w:color w:val="000000" w:themeColor="text1"/>
                <w:sz w:val="24"/>
                <w:szCs w:val="24"/>
              </w:rPr>
              <w:t xml:space="preserve">Part B of </w:t>
            </w:r>
            <w:r w:rsidRPr="00F943B5">
              <w:rPr>
                <w:color w:val="000000" w:themeColor="text1"/>
                <w:sz w:val="24"/>
                <w:szCs w:val="24"/>
              </w:rPr>
              <w:t>Schedule I will take precedence.</w:t>
            </w:r>
          </w:p>
        </w:tc>
      </w:tr>
      <w:tr w:rsidR="00442578" w14:paraId="542E370A" w14:textId="77777777" w:rsidTr="002B5672">
        <w:trPr>
          <w:cantSplit/>
        </w:trPr>
        <w:tc>
          <w:tcPr>
            <w:tcW w:w="3794" w:type="dxa"/>
          </w:tcPr>
          <w:p w14:paraId="542E3706" w14:textId="77777777" w:rsidR="00442578" w:rsidRDefault="00442578">
            <w:pPr>
              <w:autoSpaceDE w:val="0"/>
              <w:autoSpaceDN w:val="0"/>
              <w:adjustRightInd w:val="0"/>
              <w:spacing w:after="120" w:line="276" w:lineRule="auto"/>
              <w:rPr>
                <w:b/>
                <w:szCs w:val="24"/>
              </w:rPr>
            </w:pPr>
            <w:r>
              <w:rPr>
                <w:b/>
                <w:szCs w:val="24"/>
              </w:rPr>
              <w:t>Clause 12</w:t>
            </w:r>
          </w:p>
          <w:p w14:paraId="542E3707" w14:textId="77777777" w:rsidR="00442578" w:rsidRDefault="00442578" w:rsidP="00442578">
            <w:pPr>
              <w:rPr>
                <w:lang w:eastAsia="en-AU"/>
              </w:rPr>
            </w:pPr>
            <w:r>
              <w:rPr>
                <w:szCs w:val="24"/>
              </w:rPr>
              <w:t xml:space="preserve">The Commonwealth and States will implement public hospital governance and financing arrangements as set out by this Agreement in line with the timeframes identified in this Agreement. In recognition of the implementation by the States of these reforms, the Commonwealth will provide at least an additional $16.4 billion in growth funding between 2014-15 and 2019-20 through meeting 45 per cent of efficient growth between 2014-15 and 2016-17 and 50 per cent of efficient growth from 2017-18 onwards; in the event the additional growth funding is less than $16.4 billion, the Commonwealth will provide the remainder to States as top-up funding.  </w:t>
            </w:r>
          </w:p>
        </w:tc>
        <w:tc>
          <w:tcPr>
            <w:tcW w:w="5448" w:type="dxa"/>
          </w:tcPr>
          <w:p w14:paraId="542E3708" w14:textId="77777777" w:rsidR="00442578" w:rsidRDefault="00442578">
            <w:pPr>
              <w:spacing w:after="120" w:line="276" w:lineRule="auto"/>
              <w:rPr>
                <w:b/>
                <w:szCs w:val="24"/>
              </w:rPr>
            </w:pPr>
            <w:r>
              <w:rPr>
                <w:b/>
                <w:szCs w:val="24"/>
              </w:rPr>
              <w:t>Clause 12 – amended:</w:t>
            </w:r>
          </w:p>
          <w:p w14:paraId="542E3709" w14:textId="56CAE49E" w:rsidR="00442578" w:rsidRDefault="00442578" w:rsidP="005F7024">
            <w:pPr>
              <w:rPr>
                <w:lang w:eastAsia="en-AU"/>
              </w:rPr>
            </w:pPr>
            <w:r>
              <w:rPr>
                <w:szCs w:val="24"/>
              </w:rPr>
              <w:t xml:space="preserve">The Commonwealth and States will implement public hospital governance and financing arrangements as set out by this Agreement in line with the timeframes identified in this Agreement. In recognition of the implementation by the States of these reforms, the Commonwealth will provide growth funding between 2014-15 and 2019-20 through meeting 45 per cent of </w:t>
            </w:r>
            <w:r w:rsidR="005F7024">
              <w:rPr>
                <w:szCs w:val="24"/>
              </w:rPr>
              <w:t>efficient growth.</w:t>
            </w:r>
          </w:p>
        </w:tc>
      </w:tr>
      <w:tr w:rsidR="00442578" w14:paraId="542E370D" w14:textId="77777777" w:rsidTr="002B5672">
        <w:trPr>
          <w:cantSplit/>
        </w:trPr>
        <w:tc>
          <w:tcPr>
            <w:tcW w:w="3794" w:type="dxa"/>
          </w:tcPr>
          <w:p w14:paraId="542E370B" w14:textId="77777777" w:rsidR="00442578" w:rsidRDefault="00442578" w:rsidP="00442578">
            <w:pPr>
              <w:rPr>
                <w:lang w:eastAsia="en-AU"/>
              </w:rPr>
            </w:pPr>
            <w:r>
              <w:rPr>
                <w:b/>
                <w:szCs w:val="24"/>
              </w:rPr>
              <w:t>Clauses 15, A5, A67-A79</w:t>
            </w:r>
          </w:p>
        </w:tc>
        <w:tc>
          <w:tcPr>
            <w:tcW w:w="5448" w:type="dxa"/>
          </w:tcPr>
          <w:p w14:paraId="542E370C" w14:textId="77777777" w:rsidR="00442578" w:rsidRDefault="00442578" w:rsidP="00442578">
            <w:pPr>
              <w:rPr>
                <w:lang w:eastAsia="en-AU"/>
              </w:rPr>
            </w:pPr>
            <w:r>
              <w:rPr>
                <w:b/>
                <w:szCs w:val="24"/>
              </w:rPr>
              <w:t>Clauses omitted</w:t>
            </w:r>
          </w:p>
        </w:tc>
      </w:tr>
      <w:tr w:rsidR="00442578" w14:paraId="542E3712" w14:textId="77777777" w:rsidTr="002B5672">
        <w:trPr>
          <w:cantSplit/>
        </w:trPr>
        <w:tc>
          <w:tcPr>
            <w:tcW w:w="3794" w:type="dxa"/>
          </w:tcPr>
          <w:p w14:paraId="542E370E" w14:textId="77777777" w:rsidR="00442578" w:rsidRDefault="00442578">
            <w:pPr>
              <w:autoSpaceDE w:val="0"/>
              <w:autoSpaceDN w:val="0"/>
              <w:adjustRightInd w:val="0"/>
              <w:spacing w:after="120" w:line="276" w:lineRule="auto"/>
              <w:rPr>
                <w:b/>
                <w:szCs w:val="24"/>
              </w:rPr>
            </w:pPr>
            <w:r>
              <w:rPr>
                <w:b/>
                <w:szCs w:val="24"/>
              </w:rPr>
              <w:lastRenderedPageBreak/>
              <w:t>Clause B61</w:t>
            </w:r>
          </w:p>
          <w:p w14:paraId="542E370F" w14:textId="77777777" w:rsidR="00442578" w:rsidRDefault="00442578" w:rsidP="00DF702A">
            <w:pPr>
              <w:rPr>
                <w:lang w:eastAsia="en-AU"/>
              </w:rPr>
            </w:pPr>
            <w:r>
              <w:rPr>
                <w:szCs w:val="24"/>
              </w:rPr>
              <w:t xml:space="preserve">The annual adjustment will be conducted in arrears once actual volumes have been validated by the service volume </w:t>
            </w:r>
            <w:r w:rsidR="00DF702A">
              <w:rPr>
                <w:szCs w:val="24"/>
              </w:rPr>
              <w:t>R</w:t>
            </w:r>
            <w:r>
              <w:rPr>
                <w:szCs w:val="24"/>
              </w:rPr>
              <w:t>econciliations to ensure the Commonwealth meets its agreed contribution to the funding of efficient growth and to effect any payment arising from the funding guarantee, as detailed in clauses A67-A79.</w:t>
            </w:r>
          </w:p>
        </w:tc>
        <w:tc>
          <w:tcPr>
            <w:tcW w:w="5448" w:type="dxa"/>
          </w:tcPr>
          <w:p w14:paraId="542E3710" w14:textId="77777777" w:rsidR="00442578" w:rsidRDefault="00442578">
            <w:pPr>
              <w:spacing w:after="120" w:line="276" w:lineRule="auto"/>
              <w:rPr>
                <w:b/>
                <w:szCs w:val="24"/>
              </w:rPr>
            </w:pPr>
            <w:r>
              <w:rPr>
                <w:b/>
                <w:szCs w:val="24"/>
              </w:rPr>
              <w:t>Clause B61 – amended:</w:t>
            </w:r>
          </w:p>
          <w:p w14:paraId="542E3711" w14:textId="77777777" w:rsidR="00442578" w:rsidRDefault="00442578" w:rsidP="00DF702A">
            <w:pPr>
              <w:rPr>
                <w:lang w:eastAsia="en-AU"/>
              </w:rPr>
            </w:pPr>
            <w:r>
              <w:rPr>
                <w:szCs w:val="24"/>
              </w:rPr>
              <w:t xml:space="preserve">The annual adjustment will be conducted in arrears once actual volumes have been validated by the service volume </w:t>
            </w:r>
            <w:r w:rsidR="00DF702A">
              <w:rPr>
                <w:szCs w:val="24"/>
              </w:rPr>
              <w:t>R</w:t>
            </w:r>
            <w:r>
              <w:rPr>
                <w:szCs w:val="24"/>
              </w:rPr>
              <w:t>econciliations to ensure the Commonwealth meets its agreed contribution to the funding of efficient growth.</w:t>
            </w:r>
          </w:p>
        </w:tc>
      </w:tr>
      <w:tr w:rsidR="00442578" w14:paraId="542E3723" w14:textId="77777777" w:rsidTr="002B5672">
        <w:trPr>
          <w:cantSplit/>
        </w:trPr>
        <w:tc>
          <w:tcPr>
            <w:tcW w:w="3794" w:type="dxa"/>
          </w:tcPr>
          <w:p w14:paraId="542E3713" w14:textId="77777777" w:rsidR="00442578" w:rsidRDefault="00442578" w:rsidP="00442578">
            <w:pPr>
              <w:rPr>
                <w:lang w:eastAsia="en-AU"/>
              </w:rPr>
            </w:pPr>
            <w:r>
              <w:rPr>
                <w:b/>
                <w:szCs w:val="24"/>
              </w:rPr>
              <w:t>Schedule H</w:t>
            </w:r>
          </w:p>
        </w:tc>
        <w:tc>
          <w:tcPr>
            <w:tcW w:w="5448" w:type="dxa"/>
          </w:tcPr>
          <w:p w14:paraId="542E3714" w14:textId="77777777" w:rsidR="00442578" w:rsidRDefault="0066424A">
            <w:pPr>
              <w:spacing w:after="120" w:line="276" w:lineRule="auto"/>
              <w:rPr>
                <w:b/>
                <w:szCs w:val="24"/>
              </w:rPr>
            </w:pPr>
            <w:r>
              <w:rPr>
                <w:b/>
                <w:szCs w:val="24"/>
              </w:rPr>
              <w:t>Schedule H – amended row</w:t>
            </w:r>
            <w:r w:rsidR="00442578">
              <w:rPr>
                <w:b/>
                <w:szCs w:val="24"/>
              </w:rPr>
              <w:t>:</w:t>
            </w:r>
          </w:p>
          <w:tbl>
            <w:tblPr>
              <w:tblW w:w="5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757"/>
              <w:gridCol w:w="850"/>
              <w:gridCol w:w="1417"/>
            </w:tblGrid>
            <w:tr w:rsidR="0066424A" w14:paraId="542E3719" w14:textId="77777777" w:rsidTr="00472527">
              <w:trPr>
                <w:trHeight w:val="468"/>
              </w:trPr>
              <w:tc>
                <w:tcPr>
                  <w:tcW w:w="1133" w:type="dxa"/>
                  <w:tcBorders>
                    <w:top w:val="single" w:sz="4" w:space="0" w:color="000000"/>
                    <w:left w:val="single" w:sz="4" w:space="0" w:color="000000"/>
                    <w:bottom w:val="single" w:sz="4" w:space="0" w:color="000000"/>
                    <w:right w:val="nil"/>
                  </w:tcBorders>
                  <w:shd w:val="clear" w:color="auto" w:fill="1F497D"/>
                  <w:tcMar>
                    <w:top w:w="0" w:type="dxa"/>
                    <w:left w:w="57" w:type="dxa"/>
                    <w:bottom w:w="28" w:type="dxa"/>
                    <w:right w:w="57" w:type="dxa"/>
                  </w:tcMar>
                  <w:hideMark/>
                </w:tcPr>
                <w:p w14:paraId="542E3715" w14:textId="77777777" w:rsidR="00442578" w:rsidRDefault="00442578" w:rsidP="0011398A">
                  <w:pPr>
                    <w:jc w:val="center"/>
                    <w:rPr>
                      <w:b/>
                      <w:color w:val="FFFFFF" w:themeColor="background1"/>
                      <w:sz w:val="20"/>
                    </w:rPr>
                  </w:pPr>
                  <w:r>
                    <w:rPr>
                      <w:b/>
                      <w:color w:val="FFFFFF" w:themeColor="background1"/>
                      <w:sz w:val="20"/>
                    </w:rPr>
                    <w:t>Task</w:t>
                  </w:r>
                </w:p>
              </w:tc>
              <w:tc>
                <w:tcPr>
                  <w:tcW w:w="1757" w:type="dxa"/>
                  <w:tcBorders>
                    <w:top w:val="single" w:sz="4" w:space="0" w:color="000000"/>
                    <w:left w:val="single" w:sz="4" w:space="0" w:color="000000"/>
                    <w:bottom w:val="single" w:sz="4" w:space="0" w:color="000000"/>
                    <w:right w:val="nil"/>
                  </w:tcBorders>
                  <w:shd w:val="clear" w:color="auto" w:fill="1F497D"/>
                  <w:tcMar>
                    <w:top w:w="0" w:type="dxa"/>
                    <w:left w:w="57" w:type="dxa"/>
                    <w:bottom w:w="28" w:type="dxa"/>
                    <w:right w:w="57" w:type="dxa"/>
                  </w:tcMar>
                  <w:hideMark/>
                </w:tcPr>
                <w:p w14:paraId="542E3716" w14:textId="77777777" w:rsidR="00442578" w:rsidRDefault="00442578" w:rsidP="0011398A">
                  <w:pPr>
                    <w:jc w:val="center"/>
                    <w:rPr>
                      <w:b/>
                      <w:color w:val="FFFFFF" w:themeColor="background1"/>
                      <w:sz w:val="20"/>
                    </w:rPr>
                  </w:pPr>
                  <w:r>
                    <w:rPr>
                      <w:b/>
                      <w:color w:val="FFFFFF" w:themeColor="background1"/>
                      <w:sz w:val="20"/>
                    </w:rPr>
                    <w:t>Process for resolution</w:t>
                  </w:r>
                </w:p>
              </w:tc>
              <w:tc>
                <w:tcPr>
                  <w:tcW w:w="850" w:type="dxa"/>
                  <w:tcBorders>
                    <w:top w:val="single" w:sz="4" w:space="0" w:color="000000"/>
                    <w:left w:val="single" w:sz="4" w:space="0" w:color="000000"/>
                    <w:bottom w:val="single" w:sz="4" w:space="0" w:color="000000"/>
                    <w:right w:val="nil"/>
                  </w:tcBorders>
                  <w:shd w:val="clear" w:color="auto" w:fill="1F497D"/>
                  <w:tcMar>
                    <w:top w:w="0" w:type="dxa"/>
                    <w:left w:w="57" w:type="dxa"/>
                    <w:bottom w:w="28" w:type="dxa"/>
                    <w:right w:w="57" w:type="dxa"/>
                  </w:tcMar>
                  <w:hideMark/>
                </w:tcPr>
                <w:p w14:paraId="542E3717" w14:textId="77777777" w:rsidR="00442578" w:rsidRDefault="00442578" w:rsidP="0011398A">
                  <w:pPr>
                    <w:jc w:val="center"/>
                    <w:rPr>
                      <w:b/>
                      <w:color w:val="FFFFFF" w:themeColor="background1"/>
                      <w:sz w:val="20"/>
                    </w:rPr>
                  </w:pPr>
                  <w:r>
                    <w:rPr>
                      <w:b/>
                      <w:color w:val="FFFFFF" w:themeColor="background1"/>
                      <w:sz w:val="20"/>
                    </w:rPr>
                    <w:t>Timing</w:t>
                  </w:r>
                </w:p>
              </w:tc>
              <w:tc>
                <w:tcPr>
                  <w:tcW w:w="1417" w:type="dxa"/>
                  <w:tcBorders>
                    <w:top w:val="single" w:sz="4" w:space="0" w:color="000000"/>
                    <w:left w:val="single" w:sz="4" w:space="0" w:color="000000"/>
                    <w:bottom w:val="single" w:sz="4" w:space="0" w:color="000000"/>
                    <w:right w:val="single" w:sz="4" w:space="0" w:color="000000"/>
                  </w:tcBorders>
                  <w:shd w:val="clear" w:color="auto" w:fill="1F497D"/>
                  <w:tcMar>
                    <w:top w:w="0" w:type="dxa"/>
                    <w:left w:w="57" w:type="dxa"/>
                    <w:bottom w:w="28" w:type="dxa"/>
                    <w:right w:w="57" w:type="dxa"/>
                  </w:tcMar>
                  <w:hideMark/>
                </w:tcPr>
                <w:p w14:paraId="542E3718" w14:textId="77777777" w:rsidR="00442578" w:rsidRDefault="00442578" w:rsidP="0011398A">
                  <w:pPr>
                    <w:jc w:val="center"/>
                    <w:rPr>
                      <w:b/>
                      <w:color w:val="FFFFFF" w:themeColor="background1"/>
                      <w:sz w:val="20"/>
                    </w:rPr>
                  </w:pPr>
                  <w:r>
                    <w:rPr>
                      <w:b/>
                      <w:color w:val="FFFFFF" w:themeColor="background1"/>
                      <w:sz w:val="20"/>
                    </w:rPr>
                    <w:t>By whom (indicative)</w:t>
                  </w:r>
                </w:p>
              </w:tc>
            </w:tr>
            <w:tr w:rsidR="00442578" w14:paraId="542E3721" w14:textId="77777777" w:rsidTr="00472527">
              <w:tc>
                <w:tcPr>
                  <w:tcW w:w="1133" w:type="dxa"/>
                  <w:tcBorders>
                    <w:top w:val="single" w:sz="4" w:space="0" w:color="000000"/>
                    <w:left w:val="single" w:sz="4" w:space="0" w:color="000000"/>
                    <w:bottom w:val="single" w:sz="4" w:space="0" w:color="000000"/>
                    <w:right w:val="single" w:sz="4" w:space="0" w:color="000000"/>
                  </w:tcBorders>
                  <w:tcMar>
                    <w:top w:w="0" w:type="dxa"/>
                    <w:left w:w="57" w:type="dxa"/>
                    <w:bottom w:w="28" w:type="dxa"/>
                    <w:right w:w="57" w:type="dxa"/>
                  </w:tcMar>
                  <w:hideMark/>
                </w:tcPr>
                <w:p w14:paraId="542E371A" w14:textId="77777777" w:rsidR="00442578" w:rsidRDefault="00442578" w:rsidP="0011398A">
                  <w:pPr>
                    <w:spacing w:line="276" w:lineRule="auto"/>
                    <w:rPr>
                      <w:strike/>
                      <w:color w:val="000000" w:themeColor="text1"/>
                      <w:sz w:val="20"/>
                    </w:rPr>
                  </w:pPr>
                  <w:r>
                    <w:rPr>
                      <w:strike/>
                      <w:color w:val="000000" w:themeColor="text1"/>
                      <w:sz w:val="20"/>
                    </w:rPr>
                    <w:t>$16.4 billion top up payment guarantee</w:t>
                  </w:r>
                </w:p>
              </w:tc>
              <w:tc>
                <w:tcPr>
                  <w:tcW w:w="1757" w:type="dxa"/>
                  <w:tcBorders>
                    <w:top w:val="single" w:sz="4" w:space="0" w:color="auto"/>
                    <w:left w:val="single" w:sz="4" w:space="0" w:color="000000"/>
                    <w:bottom w:val="single" w:sz="4" w:space="0" w:color="auto"/>
                    <w:right w:val="single" w:sz="4" w:space="0" w:color="000000"/>
                  </w:tcBorders>
                  <w:tcMar>
                    <w:top w:w="0" w:type="dxa"/>
                    <w:left w:w="57" w:type="dxa"/>
                    <w:bottom w:w="28" w:type="dxa"/>
                    <w:right w:w="57" w:type="dxa"/>
                  </w:tcMar>
                  <w:hideMark/>
                </w:tcPr>
                <w:p w14:paraId="542E371B" w14:textId="77777777" w:rsidR="00442578" w:rsidRDefault="00442578" w:rsidP="0011398A">
                  <w:pPr>
                    <w:spacing w:line="276" w:lineRule="auto"/>
                    <w:rPr>
                      <w:strike/>
                      <w:color w:val="000000" w:themeColor="text1"/>
                      <w:sz w:val="20"/>
                    </w:rPr>
                  </w:pPr>
                  <w:r>
                    <w:rPr>
                      <w:strike/>
                      <w:color w:val="000000" w:themeColor="text1"/>
                      <w:sz w:val="20"/>
                    </w:rPr>
                    <w:t xml:space="preserve">Heads of Treasuries (HOTS) will review the need for payment of any top up funding against the national guarantee. </w:t>
                  </w:r>
                </w:p>
                <w:p w14:paraId="542E371C" w14:textId="77777777" w:rsidR="00442578" w:rsidRDefault="00442578" w:rsidP="0011398A">
                  <w:pPr>
                    <w:spacing w:line="276" w:lineRule="auto"/>
                    <w:rPr>
                      <w:strike/>
                      <w:color w:val="000000" w:themeColor="text1"/>
                      <w:sz w:val="20"/>
                    </w:rPr>
                  </w:pPr>
                  <w:r>
                    <w:rPr>
                      <w:strike/>
                      <w:color w:val="000000" w:themeColor="text1"/>
                      <w:sz w:val="20"/>
                    </w:rPr>
                    <w:t>The Commonwealth will provide top-up funding to meet any shortfall against the $16.4 billion guarantee.</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28" w:type="dxa"/>
                    <w:right w:w="57" w:type="dxa"/>
                  </w:tcMar>
                </w:tcPr>
                <w:p w14:paraId="542E371D" w14:textId="77777777" w:rsidR="00442578" w:rsidRDefault="00442578" w:rsidP="0011398A">
                  <w:pPr>
                    <w:spacing w:line="276" w:lineRule="auto"/>
                    <w:rPr>
                      <w:strike/>
                      <w:color w:val="000000" w:themeColor="text1"/>
                      <w:sz w:val="20"/>
                    </w:rPr>
                  </w:pPr>
                  <w:r>
                    <w:rPr>
                      <w:strike/>
                      <w:color w:val="000000" w:themeColor="text1"/>
                      <w:sz w:val="20"/>
                    </w:rPr>
                    <w:t>July 2017, July 2018 and July 2019</w:t>
                  </w:r>
                </w:p>
                <w:p w14:paraId="542E371E" w14:textId="77777777" w:rsidR="00442578" w:rsidRDefault="00442578" w:rsidP="0011398A">
                  <w:pPr>
                    <w:spacing w:line="276" w:lineRule="auto"/>
                    <w:rPr>
                      <w:strike/>
                      <w:color w:val="000000" w:themeColor="text1"/>
                      <w:sz w:val="20"/>
                    </w:rPr>
                  </w:pPr>
                </w:p>
                <w:p w14:paraId="542E371F" w14:textId="77777777" w:rsidR="00442578" w:rsidRDefault="00442578" w:rsidP="0011398A">
                  <w:pPr>
                    <w:spacing w:line="276" w:lineRule="auto"/>
                    <w:rPr>
                      <w:strike/>
                      <w:color w:val="000000" w:themeColor="text1"/>
                      <w:sz w:val="20"/>
                    </w:rPr>
                  </w:pPr>
                  <w:r>
                    <w:rPr>
                      <w:strike/>
                      <w:color w:val="000000" w:themeColor="text1"/>
                      <w:sz w:val="20"/>
                    </w:rPr>
                    <w:t>30 June 2021</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28" w:type="dxa"/>
                    <w:right w:w="57" w:type="dxa"/>
                  </w:tcMar>
                  <w:hideMark/>
                </w:tcPr>
                <w:p w14:paraId="542E3720" w14:textId="77777777" w:rsidR="00442578" w:rsidRDefault="00442578" w:rsidP="0011398A">
                  <w:pPr>
                    <w:spacing w:line="276" w:lineRule="auto"/>
                    <w:rPr>
                      <w:strike/>
                      <w:color w:val="000000" w:themeColor="text1"/>
                      <w:sz w:val="20"/>
                    </w:rPr>
                  </w:pPr>
                  <w:r>
                    <w:rPr>
                      <w:strike/>
                      <w:color w:val="000000" w:themeColor="text1"/>
                      <w:sz w:val="20"/>
                    </w:rPr>
                    <w:t>Commonwealth</w:t>
                  </w:r>
                </w:p>
              </w:tc>
            </w:tr>
          </w:tbl>
          <w:p w14:paraId="542E3722" w14:textId="77777777" w:rsidR="00442578" w:rsidRDefault="00442578" w:rsidP="00442578">
            <w:pPr>
              <w:rPr>
                <w:lang w:eastAsia="en-AU"/>
              </w:rPr>
            </w:pPr>
          </w:p>
        </w:tc>
      </w:tr>
      <w:tr w:rsidR="00442578" w14:paraId="542E3728" w14:textId="77777777" w:rsidTr="002B5672">
        <w:trPr>
          <w:cantSplit/>
        </w:trPr>
        <w:tc>
          <w:tcPr>
            <w:tcW w:w="3794" w:type="dxa"/>
          </w:tcPr>
          <w:p w14:paraId="542E3724" w14:textId="77777777" w:rsidR="00442578" w:rsidRDefault="00442578" w:rsidP="00E11B9D">
            <w:pPr>
              <w:autoSpaceDE w:val="0"/>
              <w:autoSpaceDN w:val="0"/>
              <w:adjustRightInd w:val="0"/>
              <w:spacing w:after="120"/>
              <w:rPr>
                <w:b/>
                <w:szCs w:val="24"/>
              </w:rPr>
            </w:pPr>
            <w:r>
              <w:rPr>
                <w:b/>
                <w:szCs w:val="24"/>
              </w:rPr>
              <w:t>Appendix A – definition of Administrator</w:t>
            </w:r>
          </w:p>
          <w:p w14:paraId="542E3725" w14:textId="77777777" w:rsidR="00442578" w:rsidRDefault="00442578" w:rsidP="00E11B9D">
            <w:pPr>
              <w:spacing w:after="120"/>
              <w:rPr>
                <w:lang w:eastAsia="en-AU"/>
              </w:rPr>
            </w:pPr>
            <w:r>
              <w:rPr>
                <w:szCs w:val="24"/>
              </w:rPr>
              <w:t>Means the Administrator of the National Health Funding Pool, who is appointed in accordance with clause B24, and performs the functions set out in clauses B26-B27.</w:t>
            </w:r>
          </w:p>
        </w:tc>
        <w:tc>
          <w:tcPr>
            <w:tcW w:w="5448" w:type="dxa"/>
          </w:tcPr>
          <w:p w14:paraId="542E3726" w14:textId="77777777" w:rsidR="00442578" w:rsidRDefault="00442578" w:rsidP="00E11B9D">
            <w:pPr>
              <w:autoSpaceDE w:val="0"/>
              <w:autoSpaceDN w:val="0"/>
              <w:adjustRightInd w:val="0"/>
              <w:spacing w:after="120"/>
              <w:rPr>
                <w:b/>
                <w:szCs w:val="24"/>
              </w:rPr>
            </w:pPr>
            <w:r>
              <w:rPr>
                <w:b/>
                <w:szCs w:val="24"/>
              </w:rPr>
              <w:t>Appendix A – definition of Administrator (amended)</w:t>
            </w:r>
          </w:p>
          <w:p w14:paraId="542E3727" w14:textId="77777777" w:rsidR="00442578" w:rsidRDefault="00442578" w:rsidP="00825E52">
            <w:pPr>
              <w:spacing w:after="120"/>
              <w:rPr>
                <w:lang w:eastAsia="en-AU"/>
              </w:rPr>
            </w:pPr>
            <w:r>
              <w:rPr>
                <w:szCs w:val="24"/>
              </w:rPr>
              <w:t xml:space="preserve">Means the Administrator of the National Health Funding Pool, who is appointed in accordance with </w:t>
            </w:r>
            <w:r w:rsidR="00825E52">
              <w:rPr>
                <w:szCs w:val="24"/>
              </w:rPr>
              <w:t>C</w:t>
            </w:r>
            <w:r>
              <w:rPr>
                <w:szCs w:val="24"/>
              </w:rPr>
              <w:t xml:space="preserve">lause B24, and performs the functions set out in </w:t>
            </w:r>
            <w:r w:rsidR="00825E52">
              <w:rPr>
                <w:szCs w:val="24"/>
              </w:rPr>
              <w:t>C</w:t>
            </w:r>
            <w:r>
              <w:rPr>
                <w:szCs w:val="24"/>
              </w:rPr>
              <w:t xml:space="preserve">lauses B26-B27 </w:t>
            </w:r>
            <w:r w:rsidRPr="0011398A">
              <w:rPr>
                <w:szCs w:val="24"/>
                <w:u w:val="single"/>
              </w:rPr>
              <w:t>and Schedule I</w:t>
            </w:r>
            <w:r>
              <w:rPr>
                <w:szCs w:val="24"/>
              </w:rPr>
              <w:t>.</w:t>
            </w:r>
          </w:p>
        </w:tc>
      </w:tr>
      <w:tr w:rsidR="00B805DB" w14:paraId="542E372D" w14:textId="77777777" w:rsidTr="002B5672">
        <w:trPr>
          <w:cantSplit/>
        </w:trPr>
        <w:tc>
          <w:tcPr>
            <w:tcW w:w="3794" w:type="dxa"/>
          </w:tcPr>
          <w:p w14:paraId="542E3729" w14:textId="77777777" w:rsidR="00B805DB" w:rsidRDefault="00B805DB" w:rsidP="00E11B9D">
            <w:pPr>
              <w:autoSpaceDE w:val="0"/>
              <w:autoSpaceDN w:val="0"/>
              <w:adjustRightInd w:val="0"/>
              <w:spacing w:after="120"/>
              <w:rPr>
                <w:b/>
                <w:szCs w:val="24"/>
              </w:rPr>
            </w:pPr>
            <w:r>
              <w:rPr>
                <w:b/>
                <w:szCs w:val="24"/>
              </w:rPr>
              <w:t xml:space="preserve">Appendix A – definition of </w:t>
            </w:r>
            <w:r w:rsidRPr="00B805DB">
              <w:rPr>
                <w:b/>
                <w:szCs w:val="24"/>
              </w:rPr>
              <w:t>Australian Commission on Safety and Quality in Health Care</w:t>
            </w:r>
          </w:p>
          <w:p w14:paraId="542E372A" w14:textId="77777777" w:rsidR="00B805DB" w:rsidRDefault="00B805DB" w:rsidP="00E11B9D">
            <w:pPr>
              <w:spacing w:after="120"/>
              <w:rPr>
                <w:b/>
                <w:szCs w:val="24"/>
              </w:rPr>
            </w:pPr>
            <w:r>
              <w:rPr>
                <w:szCs w:val="24"/>
              </w:rPr>
              <w:t>Means the authority performing the functions set out in Schedule B.</w:t>
            </w:r>
          </w:p>
        </w:tc>
        <w:tc>
          <w:tcPr>
            <w:tcW w:w="5448" w:type="dxa"/>
          </w:tcPr>
          <w:p w14:paraId="542E372B" w14:textId="77777777" w:rsidR="00B805DB" w:rsidRDefault="00B805DB" w:rsidP="00E11B9D">
            <w:pPr>
              <w:autoSpaceDE w:val="0"/>
              <w:autoSpaceDN w:val="0"/>
              <w:adjustRightInd w:val="0"/>
              <w:spacing w:after="120"/>
              <w:rPr>
                <w:b/>
                <w:szCs w:val="24"/>
              </w:rPr>
            </w:pPr>
            <w:r>
              <w:rPr>
                <w:b/>
                <w:szCs w:val="24"/>
              </w:rPr>
              <w:t xml:space="preserve">Appendix A – definition of </w:t>
            </w:r>
            <w:r w:rsidRPr="00B805DB">
              <w:rPr>
                <w:b/>
                <w:szCs w:val="24"/>
              </w:rPr>
              <w:t>Australian Commission on Safety and Quality in Health Care</w:t>
            </w:r>
            <w:r>
              <w:rPr>
                <w:b/>
                <w:szCs w:val="24"/>
              </w:rPr>
              <w:t xml:space="preserve"> (amended)</w:t>
            </w:r>
          </w:p>
          <w:p w14:paraId="542E372C" w14:textId="77777777" w:rsidR="00B805DB" w:rsidRDefault="00B805DB" w:rsidP="00E11B9D">
            <w:pPr>
              <w:autoSpaceDE w:val="0"/>
              <w:autoSpaceDN w:val="0"/>
              <w:adjustRightInd w:val="0"/>
              <w:spacing w:after="120"/>
              <w:rPr>
                <w:b/>
                <w:szCs w:val="24"/>
              </w:rPr>
            </w:pPr>
            <w:r>
              <w:rPr>
                <w:szCs w:val="24"/>
              </w:rPr>
              <w:t xml:space="preserve">Means the authority performing the functions set out in Schedule B </w:t>
            </w:r>
            <w:r>
              <w:rPr>
                <w:szCs w:val="24"/>
                <w:u w:val="single"/>
              </w:rPr>
              <w:t>and Schedule I</w:t>
            </w:r>
            <w:r>
              <w:rPr>
                <w:szCs w:val="24"/>
              </w:rPr>
              <w:t>.</w:t>
            </w:r>
          </w:p>
        </w:tc>
      </w:tr>
      <w:tr w:rsidR="00B805DB" w14:paraId="542E3732" w14:textId="77777777" w:rsidTr="002B5672">
        <w:trPr>
          <w:cantSplit/>
        </w:trPr>
        <w:tc>
          <w:tcPr>
            <w:tcW w:w="3794" w:type="dxa"/>
          </w:tcPr>
          <w:p w14:paraId="542E372E" w14:textId="77777777" w:rsidR="00B805DB" w:rsidRDefault="00B805DB" w:rsidP="00E11B9D">
            <w:pPr>
              <w:autoSpaceDE w:val="0"/>
              <w:autoSpaceDN w:val="0"/>
              <w:adjustRightInd w:val="0"/>
              <w:spacing w:after="120"/>
              <w:rPr>
                <w:b/>
                <w:szCs w:val="24"/>
              </w:rPr>
            </w:pPr>
            <w:r>
              <w:rPr>
                <w:b/>
                <w:szCs w:val="24"/>
              </w:rPr>
              <w:lastRenderedPageBreak/>
              <w:t>Appendix A – definition of Independent Hospital Pricing Authority</w:t>
            </w:r>
          </w:p>
          <w:p w14:paraId="542E372F" w14:textId="77777777" w:rsidR="00B805DB" w:rsidRDefault="00B805DB" w:rsidP="00E11B9D">
            <w:pPr>
              <w:spacing w:after="120"/>
              <w:rPr>
                <w:b/>
                <w:szCs w:val="24"/>
              </w:rPr>
            </w:pPr>
            <w:r>
              <w:rPr>
                <w:szCs w:val="24"/>
              </w:rPr>
              <w:t>Means the authority established by Commonwealth legislation in accordance with clause B1 to perform the functions set out in clauses B3 to B8.</w:t>
            </w:r>
          </w:p>
        </w:tc>
        <w:tc>
          <w:tcPr>
            <w:tcW w:w="5448" w:type="dxa"/>
          </w:tcPr>
          <w:p w14:paraId="542E3730" w14:textId="77777777" w:rsidR="00B805DB" w:rsidRDefault="00B805DB" w:rsidP="00E11B9D">
            <w:pPr>
              <w:autoSpaceDE w:val="0"/>
              <w:autoSpaceDN w:val="0"/>
              <w:adjustRightInd w:val="0"/>
              <w:spacing w:after="120"/>
              <w:rPr>
                <w:b/>
                <w:szCs w:val="24"/>
              </w:rPr>
            </w:pPr>
            <w:r>
              <w:rPr>
                <w:b/>
                <w:szCs w:val="24"/>
              </w:rPr>
              <w:t>Appendix A – definition of Independent Hospital Pricing Authority (amended)</w:t>
            </w:r>
          </w:p>
          <w:p w14:paraId="542E3731" w14:textId="77777777" w:rsidR="00B805DB" w:rsidRDefault="00B805DB" w:rsidP="00E11B9D">
            <w:pPr>
              <w:autoSpaceDE w:val="0"/>
              <w:autoSpaceDN w:val="0"/>
              <w:adjustRightInd w:val="0"/>
              <w:spacing w:after="120"/>
              <w:rPr>
                <w:b/>
                <w:szCs w:val="24"/>
              </w:rPr>
            </w:pPr>
            <w:r>
              <w:rPr>
                <w:szCs w:val="24"/>
              </w:rPr>
              <w:t>Means the authority established by Commonwealth legislation in accordance with clause B1 to perform the functions set out in clauses B3 to B8</w:t>
            </w:r>
            <w:r>
              <w:rPr>
                <w:szCs w:val="24"/>
                <w:u w:val="single"/>
              </w:rPr>
              <w:t xml:space="preserve"> and Schedule I</w:t>
            </w:r>
            <w:r>
              <w:rPr>
                <w:szCs w:val="24"/>
              </w:rPr>
              <w:t>.</w:t>
            </w:r>
          </w:p>
        </w:tc>
      </w:tr>
      <w:tr w:rsidR="00B805DB" w14:paraId="542E3737" w14:textId="77777777" w:rsidTr="002B5672">
        <w:trPr>
          <w:cantSplit/>
        </w:trPr>
        <w:tc>
          <w:tcPr>
            <w:tcW w:w="3794" w:type="dxa"/>
          </w:tcPr>
          <w:p w14:paraId="542E3733" w14:textId="77777777" w:rsidR="00B805DB" w:rsidRDefault="00B805DB" w:rsidP="00E11B9D">
            <w:pPr>
              <w:autoSpaceDE w:val="0"/>
              <w:autoSpaceDN w:val="0"/>
              <w:adjustRightInd w:val="0"/>
              <w:spacing w:after="120"/>
              <w:rPr>
                <w:b/>
                <w:szCs w:val="24"/>
              </w:rPr>
            </w:pPr>
            <w:r>
              <w:rPr>
                <w:b/>
                <w:szCs w:val="24"/>
              </w:rPr>
              <w:t>Appendix A – definition of National Health Funding Body</w:t>
            </w:r>
          </w:p>
          <w:p w14:paraId="542E3734" w14:textId="77777777" w:rsidR="00B805DB" w:rsidRDefault="00B805DB" w:rsidP="00E11B9D">
            <w:pPr>
              <w:spacing w:after="120"/>
              <w:rPr>
                <w:b/>
                <w:szCs w:val="24"/>
              </w:rPr>
            </w:pPr>
            <w:r>
              <w:rPr>
                <w:szCs w:val="24"/>
              </w:rPr>
              <w:t>Means the body established by Commonwealth legislation to assist the Administrator in carrying out his or her functions under Commonwealth and State legislation, in accordance with Schedule B of this Agreement.</w:t>
            </w:r>
          </w:p>
        </w:tc>
        <w:tc>
          <w:tcPr>
            <w:tcW w:w="5448" w:type="dxa"/>
          </w:tcPr>
          <w:p w14:paraId="542E3735" w14:textId="77777777" w:rsidR="00B805DB" w:rsidRDefault="00B805DB" w:rsidP="00E11B9D">
            <w:pPr>
              <w:autoSpaceDE w:val="0"/>
              <w:autoSpaceDN w:val="0"/>
              <w:adjustRightInd w:val="0"/>
              <w:spacing w:after="120"/>
              <w:rPr>
                <w:b/>
                <w:szCs w:val="24"/>
              </w:rPr>
            </w:pPr>
            <w:r>
              <w:rPr>
                <w:b/>
                <w:szCs w:val="24"/>
              </w:rPr>
              <w:t>Appendix A – definition of National Health Funding Body (amended)</w:t>
            </w:r>
          </w:p>
          <w:p w14:paraId="542E3736" w14:textId="77777777" w:rsidR="00B805DB" w:rsidRDefault="00B805DB" w:rsidP="00E11B9D">
            <w:pPr>
              <w:autoSpaceDE w:val="0"/>
              <w:autoSpaceDN w:val="0"/>
              <w:adjustRightInd w:val="0"/>
              <w:spacing w:after="120"/>
              <w:rPr>
                <w:b/>
                <w:szCs w:val="24"/>
              </w:rPr>
            </w:pPr>
            <w:r>
              <w:rPr>
                <w:szCs w:val="24"/>
              </w:rPr>
              <w:t>Means the body established by Commonwealth legislation to assist the Administrator in carrying out his or her functions under Commonwealth and State legislation, in accordance with Schedule B</w:t>
            </w:r>
            <w:r>
              <w:rPr>
                <w:szCs w:val="24"/>
                <w:u w:val="single"/>
              </w:rPr>
              <w:t xml:space="preserve"> and Schedule I</w:t>
            </w:r>
            <w:r>
              <w:rPr>
                <w:szCs w:val="24"/>
              </w:rPr>
              <w:t xml:space="preserve"> of this Agreement.</w:t>
            </w:r>
          </w:p>
        </w:tc>
      </w:tr>
    </w:tbl>
    <w:p w14:paraId="542E3738" w14:textId="77777777" w:rsidR="00D75C32" w:rsidRDefault="00D75C32" w:rsidP="00B953CF">
      <w:pPr>
        <w:pStyle w:val="Normalnumbered"/>
        <w:numPr>
          <w:ilvl w:val="0"/>
          <w:numId w:val="1"/>
        </w:numPr>
        <w:spacing w:before="240"/>
      </w:pPr>
      <w:r w:rsidRPr="007920F9">
        <w:t>Add new defined terms to Appendix A of the Agreement as follows: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6368"/>
      </w:tblGrid>
      <w:tr w:rsidR="00D75C32" w14:paraId="542E373B" w14:textId="77777777" w:rsidTr="005D5A46">
        <w:trPr>
          <w:trHeight w:val="144"/>
        </w:trPr>
        <w:tc>
          <w:tcPr>
            <w:tcW w:w="2704" w:type="dxa"/>
            <w:hideMark/>
          </w:tcPr>
          <w:p w14:paraId="542E3739" w14:textId="77777777" w:rsidR="00D75C32" w:rsidRDefault="00D75C32" w:rsidP="007920F9">
            <w:pPr>
              <w:spacing w:after="200" w:line="276" w:lineRule="auto"/>
              <w:rPr>
                <w:rFonts w:cs="Arial"/>
                <w:szCs w:val="24"/>
              </w:rPr>
            </w:pPr>
            <w:r>
              <w:rPr>
                <w:rFonts w:cs="Arial"/>
                <w:szCs w:val="24"/>
              </w:rPr>
              <w:t>ABF Service</w:t>
            </w:r>
          </w:p>
        </w:tc>
        <w:tc>
          <w:tcPr>
            <w:tcW w:w="6368" w:type="dxa"/>
            <w:hideMark/>
          </w:tcPr>
          <w:p w14:paraId="542E373A" w14:textId="77777777" w:rsidR="00D75C32" w:rsidRDefault="00D75C32" w:rsidP="007920F9">
            <w:pPr>
              <w:spacing w:after="200" w:line="276" w:lineRule="auto"/>
              <w:rPr>
                <w:rFonts w:cs="Arial"/>
                <w:szCs w:val="24"/>
              </w:rPr>
            </w:pPr>
            <w:r>
              <w:rPr>
                <w:rFonts w:cs="Arial"/>
                <w:szCs w:val="24"/>
              </w:rPr>
              <w:t>Means a Public Hospital Service funded under ABF.</w:t>
            </w:r>
          </w:p>
        </w:tc>
      </w:tr>
      <w:tr w:rsidR="00D75C32" w14:paraId="542E373E" w14:textId="77777777" w:rsidTr="005D5A46">
        <w:trPr>
          <w:trHeight w:val="144"/>
        </w:trPr>
        <w:tc>
          <w:tcPr>
            <w:tcW w:w="2704" w:type="dxa"/>
            <w:hideMark/>
          </w:tcPr>
          <w:p w14:paraId="542E373C" w14:textId="77777777" w:rsidR="00D75C32" w:rsidRPr="007920F9" w:rsidRDefault="00D75C32" w:rsidP="007920F9">
            <w:pPr>
              <w:spacing w:after="200" w:line="276" w:lineRule="auto"/>
              <w:rPr>
                <w:rFonts w:cs="Arial"/>
                <w:szCs w:val="24"/>
              </w:rPr>
            </w:pPr>
            <w:r>
              <w:rPr>
                <w:rFonts w:cs="Arial"/>
                <w:szCs w:val="24"/>
              </w:rPr>
              <w:t>Avoidable Hospital Readmission</w:t>
            </w:r>
          </w:p>
        </w:tc>
        <w:tc>
          <w:tcPr>
            <w:tcW w:w="6368" w:type="dxa"/>
            <w:hideMark/>
          </w:tcPr>
          <w:p w14:paraId="542E373D" w14:textId="77777777" w:rsidR="00D75C32" w:rsidRDefault="00D75C32" w:rsidP="0057539D">
            <w:pPr>
              <w:spacing w:after="200" w:line="276" w:lineRule="auto"/>
              <w:rPr>
                <w:rFonts w:cs="Arial"/>
                <w:szCs w:val="24"/>
              </w:rPr>
            </w:pPr>
            <w:r>
              <w:rPr>
                <w:rFonts w:cs="Arial"/>
                <w:szCs w:val="24"/>
              </w:rPr>
              <w:t xml:space="preserve">Means a clinical condition identified by the ACSQHC for the purpose of </w:t>
            </w:r>
            <w:r w:rsidR="00BD4B6F" w:rsidRPr="0057539D">
              <w:rPr>
                <w:rFonts w:cs="Arial"/>
                <w:szCs w:val="24"/>
              </w:rPr>
              <w:t>C</w:t>
            </w:r>
            <w:r w:rsidRPr="0057539D">
              <w:rPr>
                <w:rFonts w:cs="Arial"/>
                <w:szCs w:val="24"/>
              </w:rPr>
              <w:t>lause</w:t>
            </w:r>
            <w:r w:rsidR="006D1C4A" w:rsidRPr="0057539D">
              <w:rPr>
                <w:rFonts w:cs="Arial"/>
                <w:szCs w:val="24"/>
              </w:rPr>
              <w:t> </w:t>
            </w:r>
            <w:r w:rsidRPr="0057539D">
              <w:rPr>
                <w:rFonts w:cs="Arial"/>
                <w:szCs w:val="24"/>
              </w:rPr>
              <w:t>I7</w:t>
            </w:r>
            <w:r w:rsidR="0057539D" w:rsidRPr="0057539D">
              <w:rPr>
                <w:rFonts w:cs="Arial"/>
                <w:szCs w:val="24"/>
              </w:rPr>
              <w:t>1</w:t>
            </w:r>
            <w:r w:rsidRPr="0057539D">
              <w:rPr>
                <w:rFonts w:cs="Arial"/>
                <w:szCs w:val="24"/>
              </w:rPr>
              <w:t>.</w:t>
            </w:r>
          </w:p>
        </w:tc>
      </w:tr>
      <w:tr w:rsidR="00D75C32" w14:paraId="542E3741" w14:textId="77777777" w:rsidTr="005D5A46">
        <w:trPr>
          <w:trHeight w:val="144"/>
        </w:trPr>
        <w:tc>
          <w:tcPr>
            <w:tcW w:w="2704" w:type="dxa"/>
            <w:hideMark/>
          </w:tcPr>
          <w:p w14:paraId="542E373F" w14:textId="77777777" w:rsidR="00D75C32" w:rsidRDefault="00D75C32" w:rsidP="007920F9">
            <w:pPr>
              <w:spacing w:after="200" w:line="276" w:lineRule="auto"/>
              <w:rPr>
                <w:rFonts w:cs="Arial"/>
                <w:szCs w:val="24"/>
              </w:rPr>
            </w:pPr>
            <w:r>
              <w:rPr>
                <w:rFonts w:cs="Arial"/>
                <w:szCs w:val="24"/>
              </w:rPr>
              <w:t>Commonwealth Funding Entitlement</w:t>
            </w:r>
          </w:p>
        </w:tc>
        <w:tc>
          <w:tcPr>
            <w:tcW w:w="6368" w:type="dxa"/>
            <w:hideMark/>
          </w:tcPr>
          <w:p w14:paraId="542E3740" w14:textId="77777777" w:rsidR="00D75C32" w:rsidRDefault="00D75C32" w:rsidP="00DF702A">
            <w:pPr>
              <w:spacing w:after="200" w:line="276" w:lineRule="auto"/>
              <w:rPr>
                <w:rFonts w:cs="Arial"/>
                <w:szCs w:val="24"/>
              </w:rPr>
            </w:pPr>
            <w:r>
              <w:rPr>
                <w:rFonts w:cs="Arial"/>
                <w:szCs w:val="24"/>
              </w:rPr>
              <w:t xml:space="preserve">Means, in respect of a State, its Uncapped Commonwealth Funding Entitlement, adjusted for the imposition of the </w:t>
            </w:r>
            <w:r w:rsidR="00DF702A">
              <w:rPr>
                <w:rFonts w:cs="Arial"/>
                <w:szCs w:val="24"/>
              </w:rPr>
              <w:t>Soft</w:t>
            </w:r>
            <w:r>
              <w:rPr>
                <w:rFonts w:cs="Arial"/>
                <w:szCs w:val="24"/>
              </w:rPr>
              <w:t xml:space="preserve"> Cap and any Redistribution Amount that may be payable. It may be expressed on an estimated basis prior to annual Reconciliation or a final basis after annual Reconciliation and Redistribution. </w:t>
            </w:r>
          </w:p>
        </w:tc>
      </w:tr>
      <w:tr w:rsidR="00DF702A" w14:paraId="542E3744" w14:textId="77777777" w:rsidTr="005D5A46">
        <w:trPr>
          <w:trHeight w:val="144"/>
        </w:trPr>
        <w:tc>
          <w:tcPr>
            <w:tcW w:w="2704" w:type="dxa"/>
          </w:tcPr>
          <w:p w14:paraId="542E3742" w14:textId="77777777" w:rsidR="00DF702A" w:rsidRDefault="00DF702A" w:rsidP="007920F9">
            <w:pPr>
              <w:spacing w:after="200" w:line="276" w:lineRule="auto"/>
              <w:rPr>
                <w:rFonts w:cs="Arial"/>
                <w:szCs w:val="24"/>
              </w:rPr>
            </w:pPr>
            <w:r>
              <w:rPr>
                <w:rFonts w:cs="Arial"/>
                <w:szCs w:val="24"/>
              </w:rPr>
              <w:t>Data Conditional Payment (DCP)</w:t>
            </w:r>
          </w:p>
        </w:tc>
        <w:tc>
          <w:tcPr>
            <w:tcW w:w="6368" w:type="dxa"/>
          </w:tcPr>
          <w:p w14:paraId="542E3743" w14:textId="77777777" w:rsidR="00DF702A" w:rsidRDefault="00DF702A" w:rsidP="000F0C88">
            <w:pPr>
              <w:spacing w:after="200" w:line="276" w:lineRule="auto"/>
              <w:rPr>
                <w:rFonts w:cs="Arial"/>
                <w:szCs w:val="24"/>
              </w:rPr>
            </w:pPr>
            <w:r>
              <w:rPr>
                <w:rFonts w:cs="Arial"/>
                <w:szCs w:val="24"/>
              </w:rPr>
              <w:t xml:space="preserve">Means the mechanism </w:t>
            </w:r>
            <w:r w:rsidRPr="0057539D">
              <w:rPr>
                <w:rFonts w:cs="Arial"/>
                <w:szCs w:val="24"/>
              </w:rPr>
              <w:t>described at Clause I</w:t>
            </w:r>
            <w:r w:rsidR="007E1E7B" w:rsidRPr="0057539D">
              <w:rPr>
                <w:rFonts w:cs="Arial"/>
                <w:szCs w:val="24"/>
              </w:rPr>
              <w:t>3</w:t>
            </w:r>
            <w:r w:rsidR="000F0C88" w:rsidRPr="0057539D">
              <w:rPr>
                <w:rFonts w:cs="Arial"/>
                <w:szCs w:val="24"/>
              </w:rPr>
              <w:t>5</w:t>
            </w:r>
            <w:r w:rsidRPr="0057539D">
              <w:rPr>
                <w:rFonts w:cs="Arial"/>
                <w:szCs w:val="24"/>
              </w:rPr>
              <w:t xml:space="preserve"> to provide</w:t>
            </w:r>
            <w:r>
              <w:rPr>
                <w:rFonts w:cs="Arial"/>
                <w:szCs w:val="24"/>
              </w:rPr>
              <w:t xml:space="preserve"> an incentive for the prompt provision of hospital activity data to enable timely Reconciliation. </w:t>
            </w:r>
          </w:p>
        </w:tc>
      </w:tr>
      <w:tr w:rsidR="00D75C32" w14:paraId="542E3747" w14:textId="77777777" w:rsidTr="005D5A46">
        <w:trPr>
          <w:trHeight w:val="144"/>
        </w:trPr>
        <w:tc>
          <w:tcPr>
            <w:tcW w:w="2704" w:type="dxa"/>
            <w:hideMark/>
          </w:tcPr>
          <w:p w14:paraId="542E3745" w14:textId="77777777" w:rsidR="00D75C32" w:rsidRDefault="00D75C32" w:rsidP="00685AD9">
            <w:pPr>
              <w:spacing w:after="200" w:line="276" w:lineRule="auto"/>
              <w:rPr>
                <w:rFonts w:cs="Arial"/>
                <w:szCs w:val="24"/>
              </w:rPr>
            </w:pPr>
            <w:r>
              <w:rPr>
                <w:rFonts w:cs="Arial"/>
                <w:szCs w:val="24"/>
              </w:rPr>
              <w:t>HAC List</w:t>
            </w:r>
          </w:p>
        </w:tc>
        <w:tc>
          <w:tcPr>
            <w:tcW w:w="6368" w:type="dxa"/>
            <w:hideMark/>
          </w:tcPr>
          <w:p w14:paraId="542E3746" w14:textId="77777777" w:rsidR="00D75C32" w:rsidRDefault="00D75C32" w:rsidP="00685AD9">
            <w:pPr>
              <w:spacing w:after="200" w:line="276" w:lineRule="auto"/>
              <w:rPr>
                <w:rFonts w:cs="Arial"/>
                <w:szCs w:val="24"/>
              </w:rPr>
            </w:pPr>
            <w:r>
              <w:rPr>
                <w:rFonts w:cs="Arial"/>
                <w:szCs w:val="24"/>
              </w:rPr>
              <w:t>Means the Hospital Acquired Complication List maintained by the ACSQHC, as amended from time to time.</w:t>
            </w:r>
          </w:p>
        </w:tc>
      </w:tr>
      <w:tr w:rsidR="00D75C32" w14:paraId="542E374A" w14:textId="77777777" w:rsidTr="005D5A46">
        <w:trPr>
          <w:trHeight w:val="144"/>
        </w:trPr>
        <w:tc>
          <w:tcPr>
            <w:tcW w:w="2704" w:type="dxa"/>
            <w:hideMark/>
          </w:tcPr>
          <w:p w14:paraId="542E3748" w14:textId="77777777" w:rsidR="00D75C32" w:rsidRDefault="00D75C32" w:rsidP="00685AD9">
            <w:pPr>
              <w:spacing w:after="200" w:line="276" w:lineRule="auto"/>
              <w:rPr>
                <w:rFonts w:cs="Arial"/>
                <w:szCs w:val="24"/>
              </w:rPr>
            </w:pPr>
            <w:r>
              <w:rPr>
                <w:rFonts w:cs="Arial"/>
                <w:szCs w:val="24"/>
              </w:rPr>
              <w:t>Hospital Acquired Complication (HAC)</w:t>
            </w:r>
          </w:p>
        </w:tc>
        <w:tc>
          <w:tcPr>
            <w:tcW w:w="6368" w:type="dxa"/>
            <w:hideMark/>
          </w:tcPr>
          <w:p w14:paraId="542E3749" w14:textId="77777777" w:rsidR="00D75C32" w:rsidRDefault="00D75C32" w:rsidP="00685AD9">
            <w:pPr>
              <w:spacing w:after="200" w:line="276" w:lineRule="auto"/>
              <w:rPr>
                <w:rFonts w:cs="Arial"/>
                <w:szCs w:val="24"/>
              </w:rPr>
            </w:pPr>
            <w:r>
              <w:rPr>
                <w:rFonts w:cs="Arial"/>
                <w:szCs w:val="24"/>
              </w:rPr>
              <w:t>Means a condition set out on the HAC List</w:t>
            </w:r>
            <w:r w:rsidR="005F37B5">
              <w:rPr>
                <w:rFonts w:cs="Arial"/>
                <w:szCs w:val="24"/>
              </w:rPr>
              <w:t xml:space="preserve"> and approved by the COAG Health Council</w:t>
            </w:r>
            <w:r>
              <w:rPr>
                <w:rFonts w:cs="Arial"/>
                <w:szCs w:val="24"/>
              </w:rPr>
              <w:t>.</w:t>
            </w:r>
          </w:p>
        </w:tc>
      </w:tr>
      <w:tr w:rsidR="00D75C32" w14:paraId="542E374D" w14:textId="77777777" w:rsidTr="005D5A46">
        <w:trPr>
          <w:trHeight w:val="1978"/>
        </w:trPr>
        <w:tc>
          <w:tcPr>
            <w:tcW w:w="2704" w:type="dxa"/>
            <w:hideMark/>
          </w:tcPr>
          <w:p w14:paraId="542E374B" w14:textId="77777777" w:rsidR="00D75C32" w:rsidRDefault="00D75C32" w:rsidP="00936216">
            <w:pPr>
              <w:spacing w:after="200" w:line="276" w:lineRule="auto"/>
              <w:rPr>
                <w:rFonts w:cs="Arial"/>
                <w:szCs w:val="24"/>
              </w:rPr>
            </w:pPr>
            <w:r>
              <w:rPr>
                <w:rFonts w:cs="Arial"/>
                <w:szCs w:val="24"/>
              </w:rPr>
              <w:lastRenderedPageBreak/>
              <w:t>national bodies</w:t>
            </w:r>
          </w:p>
        </w:tc>
        <w:tc>
          <w:tcPr>
            <w:tcW w:w="6368" w:type="dxa"/>
          </w:tcPr>
          <w:p w14:paraId="542E374C" w14:textId="77777777" w:rsidR="00D75C32" w:rsidRDefault="00D75C32" w:rsidP="00936216">
            <w:pPr>
              <w:spacing w:after="200" w:line="276" w:lineRule="auto"/>
              <w:rPr>
                <w:rFonts w:cs="Arial"/>
                <w:szCs w:val="24"/>
              </w:rPr>
            </w:pPr>
            <w:r>
              <w:rPr>
                <w:rFonts w:cs="Arial"/>
                <w:szCs w:val="24"/>
              </w:rPr>
              <w:t>Means the functions and bodies established and existing from time to time for the purposes of the Agreement, including, without limitation, the Administrator, the National Health Funding Body (NHFB), the Independent Hospital Pricing Authority (IHPA) and the Australian Commission on Safety and Quality in Health Care (ACSQHC).</w:t>
            </w:r>
          </w:p>
        </w:tc>
      </w:tr>
      <w:tr w:rsidR="00D75C32" w14:paraId="542E3750" w14:textId="77777777" w:rsidTr="005D5A46">
        <w:trPr>
          <w:trHeight w:val="144"/>
        </w:trPr>
        <w:tc>
          <w:tcPr>
            <w:tcW w:w="2704" w:type="dxa"/>
            <w:hideMark/>
          </w:tcPr>
          <w:p w14:paraId="542E374E" w14:textId="77777777" w:rsidR="00D75C32" w:rsidRDefault="00D75C32" w:rsidP="00936216">
            <w:pPr>
              <w:spacing w:after="200" w:line="276" w:lineRule="auto"/>
              <w:rPr>
                <w:rFonts w:cs="Arial"/>
                <w:szCs w:val="24"/>
              </w:rPr>
            </w:pPr>
            <w:r>
              <w:rPr>
                <w:rFonts w:cs="Arial"/>
                <w:szCs w:val="24"/>
              </w:rPr>
              <w:t>National Funding Cap</w:t>
            </w:r>
          </w:p>
        </w:tc>
        <w:tc>
          <w:tcPr>
            <w:tcW w:w="6368" w:type="dxa"/>
            <w:hideMark/>
          </w:tcPr>
          <w:p w14:paraId="542E374F" w14:textId="77777777" w:rsidR="00D75C32" w:rsidRDefault="00D75C32" w:rsidP="00936216">
            <w:pPr>
              <w:spacing w:after="200" w:line="276" w:lineRule="auto"/>
              <w:rPr>
                <w:rFonts w:cs="Arial"/>
                <w:szCs w:val="24"/>
              </w:rPr>
            </w:pPr>
            <w:r>
              <w:rPr>
                <w:rFonts w:cs="Arial"/>
                <w:szCs w:val="24"/>
              </w:rPr>
              <w:t xml:space="preserve">Means the </w:t>
            </w:r>
            <w:r>
              <w:rPr>
                <w:szCs w:val="24"/>
              </w:rPr>
              <w:t>limit in growth in Commonwealth funding for Public Hospital Services for all States of 6.5 per cent per annum and where the context so requires includes the operation of the Funding Cap as provided in this Agreement.</w:t>
            </w:r>
          </w:p>
        </w:tc>
      </w:tr>
      <w:tr w:rsidR="00D75C32" w14:paraId="542E3753" w14:textId="77777777" w:rsidTr="005D5A46">
        <w:trPr>
          <w:trHeight w:val="144"/>
        </w:trPr>
        <w:tc>
          <w:tcPr>
            <w:tcW w:w="2704" w:type="dxa"/>
            <w:hideMark/>
          </w:tcPr>
          <w:p w14:paraId="542E3751" w14:textId="77777777" w:rsidR="00D75C32" w:rsidRDefault="00D75C32" w:rsidP="007602C7">
            <w:pPr>
              <w:spacing w:after="200" w:line="276" w:lineRule="auto"/>
              <w:rPr>
                <w:rFonts w:cs="Arial"/>
                <w:szCs w:val="24"/>
              </w:rPr>
            </w:pPr>
            <w:r>
              <w:rPr>
                <w:rFonts w:cs="Arial"/>
                <w:szCs w:val="24"/>
              </w:rPr>
              <w:t>Parties</w:t>
            </w:r>
          </w:p>
        </w:tc>
        <w:tc>
          <w:tcPr>
            <w:tcW w:w="6368" w:type="dxa"/>
            <w:hideMark/>
          </w:tcPr>
          <w:p w14:paraId="542E3752" w14:textId="77777777" w:rsidR="00D75C32" w:rsidRDefault="00D75C32" w:rsidP="007602C7">
            <w:pPr>
              <w:spacing w:after="200" w:line="276" w:lineRule="auto"/>
              <w:rPr>
                <w:rFonts w:cs="Arial"/>
                <w:szCs w:val="24"/>
              </w:rPr>
            </w:pPr>
            <w:r>
              <w:rPr>
                <w:rFonts w:cs="Arial"/>
                <w:szCs w:val="24"/>
              </w:rPr>
              <w:t>Means the signatories to this Agreement, being the Commonwealth and each State and Territory.</w:t>
            </w:r>
          </w:p>
        </w:tc>
      </w:tr>
      <w:tr w:rsidR="00D75C32" w14:paraId="542E3756" w14:textId="77777777" w:rsidTr="005D5A46">
        <w:trPr>
          <w:trHeight w:val="144"/>
        </w:trPr>
        <w:tc>
          <w:tcPr>
            <w:tcW w:w="2704" w:type="dxa"/>
            <w:hideMark/>
          </w:tcPr>
          <w:p w14:paraId="542E3754" w14:textId="77777777" w:rsidR="00D75C32" w:rsidRDefault="00D75C32" w:rsidP="007602C7">
            <w:pPr>
              <w:spacing w:after="200" w:line="276" w:lineRule="auto"/>
              <w:rPr>
                <w:rFonts w:cs="Arial"/>
                <w:szCs w:val="24"/>
              </w:rPr>
            </w:pPr>
            <w:r>
              <w:rPr>
                <w:rFonts w:cs="Arial"/>
                <w:szCs w:val="24"/>
              </w:rPr>
              <w:t>Public Hospital Services</w:t>
            </w:r>
          </w:p>
        </w:tc>
        <w:tc>
          <w:tcPr>
            <w:tcW w:w="6368" w:type="dxa"/>
            <w:hideMark/>
          </w:tcPr>
          <w:p w14:paraId="542E3755" w14:textId="77777777" w:rsidR="00D75C32" w:rsidRDefault="00D75C32" w:rsidP="007602C7">
            <w:pPr>
              <w:spacing w:after="200" w:line="276" w:lineRule="auto"/>
              <w:rPr>
                <w:rFonts w:cs="Arial"/>
                <w:szCs w:val="24"/>
              </w:rPr>
            </w:pPr>
            <w:r>
              <w:rPr>
                <w:rFonts w:cs="Arial"/>
                <w:szCs w:val="24"/>
              </w:rPr>
              <w:t>Means the services, functions and activities funded by the Commonwealth under this Agreement, including service subject to Activity Based Funding, Block Funding or public health activities.</w:t>
            </w:r>
          </w:p>
        </w:tc>
      </w:tr>
      <w:tr w:rsidR="00D75C32" w14:paraId="542E3759" w14:textId="77777777" w:rsidTr="005D5A46">
        <w:trPr>
          <w:trHeight w:val="144"/>
        </w:trPr>
        <w:tc>
          <w:tcPr>
            <w:tcW w:w="2704" w:type="dxa"/>
            <w:hideMark/>
          </w:tcPr>
          <w:p w14:paraId="542E3757" w14:textId="77777777" w:rsidR="00D75C32" w:rsidRDefault="00D75C32" w:rsidP="007602C7">
            <w:pPr>
              <w:spacing w:after="200" w:line="276" w:lineRule="auto"/>
              <w:rPr>
                <w:rFonts w:cs="Arial"/>
                <w:szCs w:val="24"/>
              </w:rPr>
            </w:pPr>
            <w:r>
              <w:rPr>
                <w:rFonts w:cs="Arial"/>
                <w:szCs w:val="24"/>
              </w:rPr>
              <w:t>Reconciliation</w:t>
            </w:r>
          </w:p>
        </w:tc>
        <w:tc>
          <w:tcPr>
            <w:tcW w:w="6368" w:type="dxa"/>
            <w:hideMark/>
          </w:tcPr>
          <w:p w14:paraId="542E3758" w14:textId="77777777" w:rsidR="00D75C32" w:rsidRDefault="00D75C32" w:rsidP="00DF702A">
            <w:pPr>
              <w:spacing w:after="200" w:line="276" w:lineRule="auto"/>
              <w:rPr>
                <w:rFonts w:cs="Arial"/>
                <w:szCs w:val="24"/>
              </w:rPr>
            </w:pPr>
            <w:r w:rsidRPr="008733C8">
              <w:rPr>
                <w:rFonts w:cs="Arial"/>
                <w:szCs w:val="24"/>
              </w:rPr>
              <w:t xml:space="preserve">Means the </w:t>
            </w:r>
            <w:r w:rsidR="00DF702A">
              <w:rPr>
                <w:rFonts w:cs="Arial"/>
                <w:szCs w:val="24"/>
              </w:rPr>
              <w:t>R</w:t>
            </w:r>
            <w:r w:rsidRPr="008733C8">
              <w:rPr>
                <w:rFonts w:cs="Arial"/>
                <w:szCs w:val="24"/>
              </w:rPr>
              <w:t xml:space="preserve">econciliation of actual ABF Service delivery volume undertaken within a State to the estimate of ABF Service delivery volumes provided by a State in accordance with Clauses B59 </w:t>
            </w:r>
            <w:r w:rsidR="005F37B5">
              <w:rPr>
                <w:rFonts w:cs="Arial"/>
                <w:szCs w:val="24"/>
              </w:rPr>
              <w:t>to</w:t>
            </w:r>
            <w:r w:rsidR="005F37B5" w:rsidRPr="008733C8">
              <w:rPr>
                <w:rFonts w:cs="Arial"/>
                <w:szCs w:val="24"/>
              </w:rPr>
              <w:t xml:space="preserve"> </w:t>
            </w:r>
            <w:r w:rsidRPr="008733C8">
              <w:rPr>
                <w:rFonts w:cs="Arial"/>
                <w:szCs w:val="24"/>
              </w:rPr>
              <w:t>B64.</w:t>
            </w:r>
          </w:p>
        </w:tc>
      </w:tr>
      <w:tr w:rsidR="00D75C32" w14:paraId="542E375C" w14:textId="77777777" w:rsidTr="005D5A46">
        <w:trPr>
          <w:trHeight w:val="144"/>
        </w:trPr>
        <w:tc>
          <w:tcPr>
            <w:tcW w:w="2704" w:type="dxa"/>
            <w:hideMark/>
          </w:tcPr>
          <w:p w14:paraId="542E375A" w14:textId="77777777" w:rsidR="00D75C32" w:rsidRDefault="00D75C32" w:rsidP="007602C7">
            <w:pPr>
              <w:spacing w:after="200" w:line="276" w:lineRule="auto"/>
              <w:rPr>
                <w:rFonts w:cs="Arial"/>
                <w:szCs w:val="24"/>
              </w:rPr>
            </w:pPr>
            <w:r>
              <w:rPr>
                <w:rFonts w:cs="Arial"/>
                <w:szCs w:val="24"/>
              </w:rPr>
              <w:t>Redistribution</w:t>
            </w:r>
          </w:p>
        </w:tc>
        <w:tc>
          <w:tcPr>
            <w:tcW w:w="6368" w:type="dxa"/>
            <w:hideMark/>
          </w:tcPr>
          <w:p w14:paraId="542E375B" w14:textId="77777777" w:rsidR="00D75C32" w:rsidRDefault="00D75C32" w:rsidP="000F0C88">
            <w:pPr>
              <w:spacing w:after="200" w:line="276" w:lineRule="auto"/>
              <w:rPr>
                <w:rFonts w:cs="Arial"/>
                <w:szCs w:val="24"/>
              </w:rPr>
            </w:pPr>
            <w:r>
              <w:rPr>
                <w:rFonts w:cs="Arial"/>
                <w:szCs w:val="24"/>
              </w:rPr>
              <w:t xml:space="preserve">Means the allocation of remaining funding under the National Funding Cap to States whose Uncapped Commonwealth Funding Entitlement exceeded </w:t>
            </w:r>
            <w:r w:rsidRPr="0057539D">
              <w:rPr>
                <w:rFonts w:cs="Arial"/>
                <w:szCs w:val="24"/>
              </w:rPr>
              <w:t xml:space="preserve">their respective </w:t>
            </w:r>
            <w:r w:rsidR="00DF702A" w:rsidRPr="0057539D">
              <w:rPr>
                <w:rFonts w:cs="Arial"/>
                <w:szCs w:val="24"/>
              </w:rPr>
              <w:t xml:space="preserve">Soft </w:t>
            </w:r>
            <w:r w:rsidRPr="0057539D">
              <w:rPr>
                <w:rFonts w:cs="Arial"/>
                <w:szCs w:val="24"/>
              </w:rPr>
              <w:t xml:space="preserve">Funding Cap in accordance with </w:t>
            </w:r>
            <w:r w:rsidR="00626538" w:rsidRPr="0057539D">
              <w:rPr>
                <w:rFonts w:cs="Arial"/>
                <w:szCs w:val="24"/>
              </w:rPr>
              <w:t>C</w:t>
            </w:r>
            <w:r w:rsidRPr="0057539D">
              <w:rPr>
                <w:rFonts w:cs="Arial"/>
                <w:szCs w:val="24"/>
              </w:rPr>
              <w:t>lause I2</w:t>
            </w:r>
            <w:r w:rsidR="000F0C88" w:rsidRPr="0057539D">
              <w:rPr>
                <w:rFonts w:cs="Arial"/>
                <w:szCs w:val="24"/>
              </w:rPr>
              <w:t>7</w:t>
            </w:r>
            <w:r w:rsidRPr="0057539D">
              <w:rPr>
                <w:rFonts w:cs="Arial"/>
                <w:szCs w:val="24"/>
              </w:rPr>
              <w:t>.</w:t>
            </w:r>
          </w:p>
        </w:tc>
      </w:tr>
      <w:tr w:rsidR="00D75C32" w14:paraId="542E375F" w14:textId="77777777" w:rsidTr="005D5A46">
        <w:trPr>
          <w:trHeight w:val="144"/>
        </w:trPr>
        <w:tc>
          <w:tcPr>
            <w:tcW w:w="2704" w:type="dxa"/>
            <w:hideMark/>
          </w:tcPr>
          <w:p w14:paraId="542E375D" w14:textId="77777777" w:rsidR="00D75C32" w:rsidRDefault="00D75C32" w:rsidP="007602C7">
            <w:pPr>
              <w:spacing w:after="200" w:line="276" w:lineRule="auto"/>
              <w:rPr>
                <w:rFonts w:cs="Arial"/>
                <w:szCs w:val="24"/>
              </w:rPr>
            </w:pPr>
            <w:r>
              <w:rPr>
                <w:rFonts w:cs="Arial"/>
                <w:szCs w:val="24"/>
              </w:rPr>
              <w:t>Redistribution Amount</w:t>
            </w:r>
          </w:p>
        </w:tc>
        <w:tc>
          <w:tcPr>
            <w:tcW w:w="6368" w:type="dxa"/>
            <w:hideMark/>
          </w:tcPr>
          <w:p w14:paraId="542E375E" w14:textId="77777777" w:rsidR="00D75C32" w:rsidRDefault="00D75C32" w:rsidP="007602C7">
            <w:pPr>
              <w:spacing w:after="200" w:line="276" w:lineRule="auto"/>
            </w:pPr>
            <w:r>
              <w:t xml:space="preserve">Means an amount paid by the Commonwealth to a State that is entitled to additional funds as a result of the Redistribution. </w:t>
            </w:r>
          </w:p>
        </w:tc>
      </w:tr>
      <w:tr w:rsidR="00D75C32" w14:paraId="542E3762" w14:textId="77777777" w:rsidTr="005D5A46">
        <w:trPr>
          <w:trHeight w:val="144"/>
        </w:trPr>
        <w:tc>
          <w:tcPr>
            <w:tcW w:w="2704" w:type="dxa"/>
            <w:hideMark/>
          </w:tcPr>
          <w:p w14:paraId="542E3760" w14:textId="77777777" w:rsidR="00D75C32" w:rsidRDefault="00D75C32" w:rsidP="007602C7">
            <w:pPr>
              <w:spacing w:after="200" w:line="276" w:lineRule="auto"/>
              <w:rPr>
                <w:rFonts w:cs="Arial"/>
                <w:szCs w:val="24"/>
              </w:rPr>
            </w:pPr>
            <w:r>
              <w:rPr>
                <w:rFonts w:cs="Arial"/>
                <w:szCs w:val="24"/>
              </w:rPr>
              <w:t>relevant financial year</w:t>
            </w:r>
          </w:p>
        </w:tc>
        <w:tc>
          <w:tcPr>
            <w:tcW w:w="6368" w:type="dxa"/>
            <w:hideMark/>
          </w:tcPr>
          <w:p w14:paraId="542E3761" w14:textId="77777777" w:rsidR="00D75C32" w:rsidRDefault="00D75C32" w:rsidP="007602C7">
            <w:pPr>
              <w:spacing w:after="200" w:line="276" w:lineRule="auto"/>
            </w:pPr>
            <w:r>
              <w:t>Means a specific financial year for which data is submitted by the Parties so that the Administrator can calculate the Commonwealth funding and payments for that financial year.</w:t>
            </w:r>
          </w:p>
        </w:tc>
      </w:tr>
      <w:tr w:rsidR="00D75C32" w14:paraId="542E3769" w14:textId="77777777" w:rsidTr="005D5A46">
        <w:trPr>
          <w:trHeight w:val="3690"/>
        </w:trPr>
        <w:tc>
          <w:tcPr>
            <w:tcW w:w="2704" w:type="dxa"/>
            <w:hideMark/>
          </w:tcPr>
          <w:p w14:paraId="542E3763" w14:textId="77777777" w:rsidR="00D75C32" w:rsidRDefault="00D75C32" w:rsidP="007602C7">
            <w:pPr>
              <w:spacing w:after="200" w:line="276" w:lineRule="auto"/>
              <w:rPr>
                <w:rFonts w:cs="Arial"/>
                <w:szCs w:val="24"/>
              </w:rPr>
            </w:pPr>
            <w:r>
              <w:rPr>
                <w:rFonts w:cs="Arial"/>
                <w:szCs w:val="24"/>
              </w:rPr>
              <w:lastRenderedPageBreak/>
              <w:t>Required Data</w:t>
            </w:r>
          </w:p>
        </w:tc>
        <w:tc>
          <w:tcPr>
            <w:tcW w:w="6368" w:type="dxa"/>
            <w:hideMark/>
          </w:tcPr>
          <w:p w14:paraId="542E3764" w14:textId="77777777" w:rsidR="00D75C32" w:rsidRDefault="00D75C32" w:rsidP="007602C7">
            <w:pPr>
              <w:spacing w:after="200" w:line="276" w:lineRule="auto"/>
            </w:pPr>
            <w:r>
              <w:t>Means each of:</w:t>
            </w:r>
          </w:p>
          <w:p w14:paraId="542E3765" w14:textId="77777777" w:rsidR="00D75C32" w:rsidRDefault="00D75C32" w:rsidP="007602C7">
            <w:pPr>
              <w:spacing w:after="200" w:line="276" w:lineRule="auto"/>
            </w:pPr>
            <w:r>
              <w:t xml:space="preserve">a. the data specified as being required </w:t>
            </w:r>
            <w:r w:rsidR="005453BB">
              <w:t xml:space="preserve">for </w:t>
            </w:r>
            <w:r w:rsidR="00DF702A">
              <w:t>R</w:t>
            </w:r>
            <w:r w:rsidR="005453BB">
              <w:t xml:space="preserve">econciliation </w:t>
            </w:r>
            <w:r>
              <w:t>in the data plan issued by the Administrator for the relevant financial year;</w:t>
            </w:r>
          </w:p>
          <w:p w14:paraId="542E3766" w14:textId="77777777" w:rsidR="00D75C32" w:rsidRDefault="00D75C32" w:rsidP="007602C7">
            <w:pPr>
              <w:spacing w:after="200" w:line="276" w:lineRule="auto"/>
            </w:pPr>
            <w:r>
              <w:t>b. data necessary to enable the Administrator to operate the pricing and funding models agreed by the Parties to calculate Safety and Quality Adjustments;</w:t>
            </w:r>
          </w:p>
          <w:p w14:paraId="542E3767" w14:textId="77777777" w:rsidR="00D75C32" w:rsidRDefault="00D75C32" w:rsidP="007602C7">
            <w:pPr>
              <w:spacing w:after="200" w:line="276" w:lineRule="auto"/>
            </w:pPr>
            <w:r>
              <w:t>c. data necessary to identify Sentinel Events; and</w:t>
            </w:r>
          </w:p>
          <w:p w14:paraId="542E3768" w14:textId="77777777" w:rsidR="00D75C32" w:rsidRDefault="00D75C32" w:rsidP="001F4FBD">
            <w:pPr>
              <w:spacing w:after="200" w:line="276" w:lineRule="auto"/>
            </w:pPr>
            <w:r>
              <w:t xml:space="preserve">d. the duly completed </w:t>
            </w:r>
            <w:r w:rsidR="001F4FBD">
              <w:t>Statement of Assurance</w:t>
            </w:r>
            <w:r>
              <w:t>.</w:t>
            </w:r>
          </w:p>
        </w:tc>
      </w:tr>
      <w:tr w:rsidR="00D75C32" w14:paraId="542E376C" w14:textId="77777777" w:rsidTr="005D5A46">
        <w:trPr>
          <w:trHeight w:val="1873"/>
        </w:trPr>
        <w:tc>
          <w:tcPr>
            <w:tcW w:w="2704" w:type="dxa"/>
            <w:hideMark/>
          </w:tcPr>
          <w:p w14:paraId="542E376A" w14:textId="77777777" w:rsidR="00D75C32" w:rsidRDefault="00D75C32" w:rsidP="007602C7">
            <w:pPr>
              <w:spacing w:after="200" w:line="276" w:lineRule="auto"/>
              <w:rPr>
                <w:rFonts w:cs="Arial"/>
                <w:szCs w:val="24"/>
              </w:rPr>
            </w:pPr>
            <w:r>
              <w:rPr>
                <w:rFonts w:cs="Arial"/>
                <w:szCs w:val="24"/>
              </w:rPr>
              <w:t>Safety and Quality Adjustment</w:t>
            </w:r>
          </w:p>
        </w:tc>
        <w:tc>
          <w:tcPr>
            <w:tcW w:w="6368" w:type="dxa"/>
            <w:hideMark/>
          </w:tcPr>
          <w:p w14:paraId="542E376B" w14:textId="77777777" w:rsidR="00D75C32" w:rsidRDefault="00D75C32" w:rsidP="007602C7">
            <w:pPr>
              <w:spacing w:after="200" w:line="276" w:lineRule="auto"/>
              <w:rPr>
                <w:rFonts w:cs="Arial"/>
                <w:szCs w:val="24"/>
              </w:rPr>
            </w:pPr>
            <w:r>
              <w:rPr>
                <w:rFonts w:cs="Arial"/>
                <w:szCs w:val="24"/>
              </w:rPr>
              <w:t>Means a reduction in funding payable to a State by the Commonwealth for Public Hospital Services, funded either under ABF or Block Funding, following the occurrence of a HAC or an Avoidable Hospital Readmission in accordance with the pricing and funding models to be developed by the Parties for this purpose.</w:t>
            </w:r>
          </w:p>
        </w:tc>
      </w:tr>
      <w:tr w:rsidR="00D75C32" w14:paraId="542E376F" w14:textId="77777777" w:rsidTr="005D5A46">
        <w:trPr>
          <w:trHeight w:val="542"/>
        </w:trPr>
        <w:tc>
          <w:tcPr>
            <w:tcW w:w="2704" w:type="dxa"/>
            <w:hideMark/>
          </w:tcPr>
          <w:p w14:paraId="542E376D" w14:textId="77777777" w:rsidR="00D75C32" w:rsidRDefault="00D75C32" w:rsidP="007602C7">
            <w:pPr>
              <w:spacing w:after="200" w:line="276" w:lineRule="auto"/>
              <w:rPr>
                <w:rFonts w:cs="Arial"/>
                <w:szCs w:val="24"/>
              </w:rPr>
            </w:pPr>
            <w:r>
              <w:rPr>
                <w:rFonts w:cs="Arial"/>
                <w:szCs w:val="24"/>
              </w:rPr>
              <w:t>Sentinel Event</w:t>
            </w:r>
          </w:p>
        </w:tc>
        <w:tc>
          <w:tcPr>
            <w:tcW w:w="6368" w:type="dxa"/>
            <w:hideMark/>
          </w:tcPr>
          <w:p w14:paraId="542E376E" w14:textId="77777777" w:rsidR="00D75C32" w:rsidRDefault="00D75C32" w:rsidP="007602C7">
            <w:pPr>
              <w:spacing w:after="200" w:line="276" w:lineRule="auto"/>
              <w:rPr>
                <w:rFonts w:cs="Arial"/>
                <w:szCs w:val="24"/>
              </w:rPr>
            </w:pPr>
            <w:r>
              <w:rPr>
                <w:rFonts w:cs="Arial"/>
                <w:szCs w:val="24"/>
              </w:rPr>
              <w:t>Means an event set out on the Sentinel Events List.</w:t>
            </w:r>
          </w:p>
        </w:tc>
      </w:tr>
      <w:tr w:rsidR="00D75C32" w14:paraId="542E3772" w14:textId="77777777" w:rsidTr="005D5A46">
        <w:trPr>
          <w:trHeight w:val="1207"/>
        </w:trPr>
        <w:tc>
          <w:tcPr>
            <w:tcW w:w="2704" w:type="dxa"/>
            <w:hideMark/>
          </w:tcPr>
          <w:p w14:paraId="542E3770" w14:textId="77777777" w:rsidR="00D75C32" w:rsidRDefault="00D75C32" w:rsidP="007602C7">
            <w:pPr>
              <w:spacing w:after="200" w:line="276" w:lineRule="auto"/>
              <w:rPr>
                <w:rFonts w:cs="Arial"/>
                <w:szCs w:val="24"/>
              </w:rPr>
            </w:pPr>
            <w:r>
              <w:rPr>
                <w:rFonts w:cs="Arial"/>
                <w:szCs w:val="24"/>
              </w:rPr>
              <w:t>Sentinel Events List</w:t>
            </w:r>
          </w:p>
        </w:tc>
        <w:tc>
          <w:tcPr>
            <w:tcW w:w="6368" w:type="dxa"/>
            <w:hideMark/>
          </w:tcPr>
          <w:p w14:paraId="542E3771" w14:textId="77777777" w:rsidR="00D75C32" w:rsidRDefault="00D75C32" w:rsidP="007602C7">
            <w:pPr>
              <w:spacing w:after="200" w:line="276" w:lineRule="auto"/>
              <w:rPr>
                <w:rFonts w:cs="Arial"/>
                <w:szCs w:val="24"/>
              </w:rPr>
            </w:pPr>
            <w:r>
              <w:rPr>
                <w:rFonts w:cs="Arial"/>
                <w:szCs w:val="24"/>
              </w:rPr>
              <w:t>Means events set out on the Australian Sentinel Events List maintained by the ACSQHC and approved by the COAG Health Council.</w:t>
            </w:r>
          </w:p>
        </w:tc>
      </w:tr>
      <w:tr w:rsidR="00D75C32" w14:paraId="542E3775" w14:textId="77777777" w:rsidTr="005D5A46">
        <w:trPr>
          <w:trHeight w:val="882"/>
        </w:trPr>
        <w:tc>
          <w:tcPr>
            <w:tcW w:w="2704" w:type="dxa"/>
            <w:hideMark/>
          </w:tcPr>
          <w:p w14:paraId="542E3773" w14:textId="77777777" w:rsidR="00D75C32" w:rsidRPr="005F37B5" w:rsidRDefault="008A7404" w:rsidP="007602C7">
            <w:pPr>
              <w:spacing w:after="200" w:line="276" w:lineRule="auto"/>
              <w:rPr>
                <w:rFonts w:cs="Arial"/>
                <w:szCs w:val="24"/>
              </w:rPr>
            </w:pPr>
            <w:r w:rsidRPr="005F37B5">
              <w:rPr>
                <w:rFonts w:cs="Arial"/>
                <w:szCs w:val="24"/>
              </w:rPr>
              <w:t>Soft</w:t>
            </w:r>
            <w:r w:rsidR="00D75C32" w:rsidRPr="005F37B5">
              <w:rPr>
                <w:rFonts w:cs="Arial"/>
                <w:szCs w:val="24"/>
              </w:rPr>
              <w:t xml:space="preserve"> Cap</w:t>
            </w:r>
          </w:p>
        </w:tc>
        <w:tc>
          <w:tcPr>
            <w:tcW w:w="6368" w:type="dxa"/>
            <w:hideMark/>
          </w:tcPr>
          <w:p w14:paraId="542E3774" w14:textId="77777777" w:rsidR="00D75C32" w:rsidRPr="0057539D" w:rsidRDefault="00D75C32" w:rsidP="007602C7">
            <w:pPr>
              <w:spacing w:after="200" w:line="276" w:lineRule="auto"/>
              <w:rPr>
                <w:rFonts w:cs="Arial"/>
                <w:szCs w:val="24"/>
              </w:rPr>
            </w:pPr>
            <w:r w:rsidRPr="0057539D">
              <w:rPr>
                <w:rFonts w:cs="Arial"/>
                <w:szCs w:val="24"/>
              </w:rPr>
              <w:t xml:space="preserve">Means the </w:t>
            </w:r>
            <w:r w:rsidRPr="0057539D">
              <w:rPr>
                <w:szCs w:val="24"/>
              </w:rPr>
              <w:t>limit in growth in Commonwealth funding for Public Hospital Services in a State of 6.5 per cent per annum.</w:t>
            </w:r>
          </w:p>
        </w:tc>
      </w:tr>
      <w:tr w:rsidR="00AA747F" w14:paraId="542E3778" w14:textId="77777777" w:rsidTr="005D5A46">
        <w:trPr>
          <w:trHeight w:val="882"/>
        </w:trPr>
        <w:tc>
          <w:tcPr>
            <w:tcW w:w="2704" w:type="dxa"/>
          </w:tcPr>
          <w:p w14:paraId="542E3776" w14:textId="77777777" w:rsidR="00AA747F" w:rsidRPr="005F37B5" w:rsidRDefault="00AA747F" w:rsidP="007602C7">
            <w:pPr>
              <w:spacing w:after="200" w:line="276" w:lineRule="auto"/>
              <w:rPr>
                <w:rFonts w:cs="Arial"/>
                <w:szCs w:val="24"/>
              </w:rPr>
            </w:pPr>
            <w:r>
              <w:rPr>
                <w:rFonts w:cs="Arial"/>
                <w:szCs w:val="24"/>
              </w:rPr>
              <w:t>Statement of Assurance</w:t>
            </w:r>
          </w:p>
        </w:tc>
        <w:tc>
          <w:tcPr>
            <w:tcW w:w="6368" w:type="dxa"/>
          </w:tcPr>
          <w:p w14:paraId="542E3777" w14:textId="77777777" w:rsidR="00AA747F" w:rsidRPr="0057539D" w:rsidRDefault="00AA747F" w:rsidP="005E68BF">
            <w:pPr>
              <w:spacing w:after="200" w:line="276" w:lineRule="auto"/>
              <w:rPr>
                <w:rFonts w:cs="Arial"/>
                <w:szCs w:val="24"/>
              </w:rPr>
            </w:pPr>
            <w:r w:rsidRPr="0057539D">
              <w:rPr>
                <w:rFonts w:cs="Arial"/>
                <w:szCs w:val="24"/>
              </w:rPr>
              <w:t>Means the statement as to the completeness and accuracy of data submitted, issued in accordance with Clause</w:t>
            </w:r>
            <w:r w:rsidR="008C48BB" w:rsidRPr="0057539D">
              <w:rPr>
                <w:rFonts w:cs="Arial"/>
                <w:szCs w:val="24"/>
              </w:rPr>
              <w:t>s</w:t>
            </w:r>
            <w:r w:rsidRPr="0057539D">
              <w:rPr>
                <w:rFonts w:cs="Arial"/>
                <w:szCs w:val="24"/>
              </w:rPr>
              <w:t> I</w:t>
            </w:r>
            <w:r w:rsidR="007E1E7B" w:rsidRPr="0057539D">
              <w:rPr>
                <w:rFonts w:cs="Arial"/>
                <w:szCs w:val="24"/>
              </w:rPr>
              <w:t>4</w:t>
            </w:r>
            <w:r w:rsidR="008C48BB" w:rsidRPr="0057539D">
              <w:rPr>
                <w:rFonts w:cs="Arial"/>
                <w:szCs w:val="24"/>
              </w:rPr>
              <w:t>0 and I4</w:t>
            </w:r>
            <w:r w:rsidR="007E1E7B" w:rsidRPr="0057539D">
              <w:rPr>
                <w:rFonts w:cs="Arial"/>
                <w:szCs w:val="24"/>
              </w:rPr>
              <w:t>1</w:t>
            </w:r>
            <w:r w:rsidRPr="0057539D">
              <w:rPr>
                <w:rFonts w:cs="Arial"/>
                <w:szCs w:val="24"/>
              </w:rPr>
              <w:t>.</w:t>
            </w:r>
          </w:p>
        </w:tc>
      </w:tr>
      <w:tr w:rsidR="00D75C32" w14:paraId="542E377B" w14:textId="77777777" w:rsidTr="005D5A46">
        <w:trPr>
          <w:trHeight w:val="1547"/>
        </w:trPr>
        <w:tc>
          <w:tcPr>
            <w:tcW w:w="2704" w:type="dxa"/>
            <w:hideMark/>
          </w:tcPr>
          <w:p w14:paraId="542E3779" w14:textId="77777777" w:rsidR="00D75C32" w:rsidRDefault="00D75C32" w:rsidP="007602C7">
            <w:pPr>
              <w:spacing w:after="200" w:line="276" w:lineRule="auto"/>
              <w:rPr>
                <w:rFonts w:cs="Arial"/>
                <w:szCs w:val="24"/>
              </w:rPr>
            </w:pPr>
            <w:r>
              <w:rPr>
                <w:rFonts w:cs="Arial"/>
                <w:szCs w:val="24"/>
              </w:rPr>
              <w:t>Uncapped Commonwealth Funding Entitlement</w:t>
            </w:r>
          </w:p>
        </w:tc>
        <w:tc>
          <w:tcPr>
            <w:tcW w:w="6368" w:type="dxa"/>
            <w:hideMark/>
          </w:tcPr>
          <w:p w14:paraId="542E377A" w14:textId="77777777" w:rsidR="00D75C32" w:rsidRDefault="00D75C32" w:rsidP="008A7404">
            <w:pPr>
              <w:spacing w:after="200" w:line="276" w:lineRule="auto"/>
              <w:rPr>
                <w:rFonts w:cs="Arial"/>
                <w:szCs w:val="24"/>
              </w:rPr>
            </w:pPr>
            <w:r>
              <w:rPr>
                <w:rFonts w:cs="Arial"/>
                <w:szCs w:val="24"/>
              </w:rPr>
              <w:t xml:space="preserve">Means in respect of a State in a relevant financial year, its entitlement to Commonwealth funding for Public Hospital Services in that State under the Agreement, excluding the impact of the National Funding Cap or any relevant </w:t>
            </w:r>
            <w:r w:rsidR="008A7404">
              <w:rPr>
                <w:rFonts w:cs="Arial"/>
                <w:szCs w:val="24"/>
              </w:rPr>
              <w:t>Soft</w:t>
            </w:r>
            <w:r>
              <w:rPr>
                <w:rFonts w:cs="Arial"/>
                <w:szCs w:val="24"/>
              </w:rPr>
              <w:t xml:space="preserve"> Cap.</w:t>
            </w:r>
          </w:p>
        </w:tc>
      </w:tr>
    </w:tbl>
    <w:p w14:paraId="542E377C" w14:textId="77777777" w:rsidR="00442578" w:rsidRPr="0011398A" w:rsidRDefault="00442578" w:rsidP="0011398A">
      <w:pPr>
        <w:pStyle w:val="Heading2"/>
        <w:rPr>
          <w:color w:val="632423" w:themeColor="accent2" w:themeShade="80"/>
          <w:sz w:val="32"/>
          <w:szCs w:val="32"/>
        </w:rPr>
      </w:pPr>
      <w:r w:rsidRPr="0011398A">
        <w:rPr>
          <w:color w:val="632423" w:themeColor="accent2" w:themeShade="80"/>
          <w:sz w:val="32"/>
          <w:szCs w:val="32"/>
        </w:rPr>
        <w:t xml:space="preserve">Part B: Revised arrangements for </w:t>
      </w:r>
      <w:r w:rsidR="005F37B5" w:rsidRPr="0011398A">
        <w:rPr>
          <w:color w:val="632423" w:themeColor="accent2" w:themeShade="80"/>
          <w:sz w:val="32"/>
          <w:szCs w:val="32"/>
        </w:rPr>
        <w:t>201</w:t>
      </w:r>
      <w:r w:rsidR="005F37B5">
        <w:rPr>
          <w:color w:val="632423" w:themeColor="accent2" w:themeShade="80"/>
          <w:sz w:val="32"/>
          <w:szCs w:val="32"/>
        </w:rPr>
        <w:t>7</w:t>
      </w:r>
      <w:r w:rsidRPr="0011398A">
        <w:rPr>
          <w:color w:val="632423" w:themeColor="accent2" w:themeShade="80"/>
          <w:sz w:val="32"/>
          <w:szCs w:val="32"/>
        </w:rPr>
        <w:noBreakHyphen/>
        <w:t>18 to 2019</w:t>
      </w:r>
      <w:r w:rsidRPr="0011398A">
        <w:rPr>
          <w:color w:val="632423" w:themeColor="accent2" w:themeShade="80"/>
          <w:sz w:val="32"/>
          <w:szCs w:val="32"/>
        </w:rPr>
        <w:noBreakHyphen/>
        <w:t>20</w:t>
      </w:r>
    </w:p>
    <w:bookmarkEnd w:id="0"/>
    <w:p w14:paraId="542E377D" w14:textId="77777777" w:rsidR="00796595" w:rsidRPr="00C01B9B" w:rsidRDefault="00796595" w:rsidP="008207FF">
      <w:pPr>
        <w:pStyle w:val="Heading2"/>
      </w:pPr>
      <w:r w:rsidRPr="00C01B9B">
        <w:t>Scope</w:t>
      </w:r>
    </w:p>
    <w:p w14:paraId="542E377E" w14:textId="77777777" w:rsidR="0066424A" w:rsidRDefault="00796595" w:rsidP="005F37B5">
      <w:pPr>
        <w:pStyle w:val="Normalnumbered"/>
        <w:numPr>
          <w:ilvl w:val="0"/>
          <w:numId w:val="1"/>
        </w:numPr>
      </w:pPr>
      <w:r>
        <w:t xml:space="preserve">This </w:t>
      </w:r>
      <w:r w:rsidR="00442578">
        <w:t>Part</w:t>
      </w:r>
      <w:r w:rsidR="005F37B5">
        <w:t xml:space="preserve"> </w:t>
      </w:r>
      <w:r w:rsidR="0066424A" w:rsidRPr="0066424A">
        <w:t>amends the Agreement to detail public hospital funding arrangements between the Parties from 1 July 2017 to 30 June 2020</w:t>
      </w:r>
      <w:r w:rsidR="005F37B5">
        <w:t>.</w:t>
      </w:r>
      <w:r w:rsidR="005F37B5" w:rsidRPr="0066424A">
        <w:t xml:space="preserve"> </w:t>
      </w:r>
    </w:p>
    <w:p w14:paraId="542E377F" w14:textId="77777777" w:rsidR="00796595" w:rsidRPr="0066424A" w:rsidRDefault="00796595" w:rsidP="008207FF">
      <w:pPr>
        <w:pStyle w:val="Heading2"/>
      </w:pPr>
      <w:r w:rsidRPr="0066424A">
        <w:lastRenderedPageBreak/>
        <w:t>Public hospital funding arrangements</w:t>
      </w:r>
    </w:p>
    <w:p w14:paraId="542E3780" w14:textId="77777777" w:rsidR="00796595" w:rsidRPr="00D05567" w:rsidRDefault="00796595" w:rsidP="00796595">
      <w:pPr>
        <w:pStyle w:val="Normalnumbered"/>
        <w:numPr>
          <w:ilvl w:val="0"/>
          <w:numId w:val="1"/>
        </w:numPr>
      </w:pPr>
      <w:r>
        <w:t xml:space="preserve">Consistent with Clause A1 of the Agreement, the Parties agree </w:t>
      </w:r>
      <w:r w:rsidRPr="00D05567">
        <w:t>the Commonwealth's contribution to hospital services from 1</w:t>
      </w:r>
      <w:r>
        <w:t> </w:t>
      </w:r>
      <w:r w:rsidRPr="00D05567">
        <w:t>July</w:t>
      </w:r>
      <w:r>
        <w:t> </w:t>
      </w:r>
      <w:r w:rsidRPr="00D05567">
        <w:t>2017 until 30 June 2020 will</w:t>
      </w:r>
      <w:r>
        <w:t xml:space="preserve"> comprise funding relating to:</w:t>
      </w:r>
    </w:p>
    <w:p w14:paraId="542E3781" w14:textId="77777777" w:rsidR="00796595" w:rsidRPr="00D05567" w:rsidRDefault="00175A96" w:rsidP="00796595">
      <w:pPr>
        <w:pStyle w:val="Normalnumbered"/>
        <w:numPr>
          <w:ilvl w:val="1"/>
          <w:numId w:val="1"/>
        </w:numPr>
      </w:pPr>
      <w:r>
        <w:t>Public H</w:t>
      </w:r>
      <w:r w:rsidRPr="00D05567">
        <w:t xml:space="preserve">ospital </w:t>
      </w:r>
      <w:r>
        <w:t>S</w:t>
      </w:r>
      <w:r w:rsidRPr="00D05567">
        <w:t xml:space="preserve">ervices </w:t>
      </w:r>
      <w:r w:rsidR="00796595" w:rsidRPr="00D05567">
        <w:t xml:space="preserve">provided to public patients in a range of settings, and eligible private patients in public hospitals and a range of settings on </w:t>
      </w:r>
      <w:r w:rsidR="00C6055B">
        <w:t>an activity basis</w:t>
      </w:r>
      <w:r w:rsidR="00796595" w:rsidRPr="00D05567">
        <w:t>;</w:t>
      </w:r>
    </w:p>
    <w:p w14:paraId="542E3782" w14:textId="77777777" w:rsidR="00796595" w:rsidRPr="00D05567" w:rsidRDefault="00175A96" w:rsidP="00796595">
      <w:pPr>
        <w:pStyle w:val="Normalnumbered"/>
        <w:numPr>
          <w:ilvl w:val="1"/>
          <w:numId w:val="1"/>
        </w:numPr>
      </w:pPr>
      <w:r w:rsidRPr="00D05567">
        <w:t xml:space="preserve">Block Funding </w:t>
      </w:r>
      <w:r>
        <w:t>f</w:t>
      </w:r>
      <w:r w:rsidRPr="00D05567">
        <w:t xml:space="preserve">or Public Hospital Services </w:t>
      </w:r>
      <w:r w:rsidR="00796595" w:rsidRPr="00D05567">
        <w:t>better funded through block grants, including relevant services in regional and rural communities and teaching, training and research functions; and</w:t>
      </w:r>
    </w:p>
    <w:p w14:paraId="542E3783" w14:textId="77777777" w:rsidR="00796595" w:rsidRPr="00D05567" w:rsidRDefault="00796595" w:rsidP="00796595">
      <w:pPr>
        <w:pStyle w:val="Normalnumbered"/>
        <w:numPr>
          <w:ilvl w:val="1"/>
          <w:numId w:val="1"/>
        </w:numPr>
      </w:pPr>
      <w:r w:rsidRPr="00D05567">
        <w:t>public health activities.</w:t>
      </w:r>
    </w:p>
    <w:p w14:paraId="542E3784" w14:textId="77777777" w:rsidR="00796595" w:rsidRDefault="00796595" w:rsidP="00796595">
      <w:pPr>
        <w:pStyle w:val="Normalnumbered"/>
        <w:numPr>
          <w:ilvl w:val="0"/>
          <w:numId w:val="1"/>
        </w:numPr>
      </w:pPr>
      <w:r>
        <w:t xml:space="preserve">Consistent with </w:t>
      </w:r>
      <w:r w:rsidR="00FE1C22">
        <w:t>Schedule A</w:t>
      </w:r>
      <w:r>
        <w:t xml:space="preserve"> of the Agreement, Commonwealth</w:t>
      </w:r>
      <w:r w:rsidRPr="00716AD7">
        <w:t xml:space="preserve"> funding will be provided on the basis of activity through ABF </w:t>
      </w:r>
      <w:r w:rsidRPr="00716AD7">
        <w:rPr>
          <w:szCs w:val="20"/>
        </w:rPr>
        <w:t>wherever</w:t>
      </w:r>
      <w:r w:rsidRPr="00716AD7">
        <w:t xml:space="preserve"> practicable.</w:t>
      </w:r>
    </w:p>
    <w:p w14:paraId="542E3785" w14:textId="77777777" w:rsidR="005F37B5" w:rsidRPr="005F37B5" w:rsidRDefault="00796595" w:rsidP="005F37B5">
      <w:pPr>
        <w:pStyle w:val="Normalnumbered"/>
        <w:numPr>
          <w:ilvl w:val="0"/>
          <w:numId w:val="1"/>
        </w:numPr>
      </w:pPr>
      <w:r>
        <w:t xml:space="preserve">Growth in </w:t>
      </w:r>
      <w:r w:rsidR="00175A96">
        <w:t xml:space="preserve">annual </w:t>
      </w:r>
      <w:r>
        <w:t xml:space="preserve">Commonwealth funding for </w:t>
      </w:r>
      <w:r w:rsidR="00175A96">
        <w:t>national Public Hospital Services</w:t>
      </w:r>
      <w:r>
        <w:t xml:space="preserve">, will not exceed 6.5 per cent a year </w:t>
      </w:r>
      <w:r w:rsidR="00685AD9">
        <w:t>(the National Funding Cap)</w:t>
      </w:r>
      <w:r w:rsidR="00175A96">
        <w:t xml:space="preserve"> </w:t>
      </w:r>
      <w:r>
        <w:t xml:space="preserve">while </w:t>
      </w:r>
      <w:r w:rsidR="00685D26" w:rsidRPr="00D654B1">
        <w:t>this</w:t>
      </w:r>
      <w:r w:rsidRPr="00D654B1">
        <w:t xml:space="preserve"> </w:t>
      </w:r>
      <w:r w:rsidR="00B805DB">
        <w:t>Part</w:t>
      </w:r>
      <w:r w:rsidR="00B805DB" w:rsidRPr="00D654B1">
        <w:t xml:space="preserve"> </w:t>
      </w:r>
      <w:r w:rsidRPr="00D654B1">
        <w:t>is operational. Details on the</w:t>
      </w:r>
      <w:r w:rsidR="00685D26" w:rsidRPr="00D654B1">
        <w:t xml:space="preserve"> operation of the</w:t>
      </w:r>
      <w:r w:rsidRPr="00D654B1">
        <w:t xml:space="preserve"> </w:t>
      </w:r>
      <w:r w:rsidR="00175A96">
        <w:t>National F</w:t>
      </w:r>
      <w:r w:rsidR="00175A96" w:rsidRPr="00D654B1">
        <w:t xml:space="preserve">unding </w:t>
      </w:r>
      <w:r w:rsidR="00175A96">
        <w:t>C</w:t>
      </w:r>
      <w:r w:rsidR="00175A96" w:rsidRPr="00D654B1">
        <w:t xml:space="preserve">ap </w:t>
      </w:r>
      <w:r w:rsidRPr="00D654B1">
        <w:t>are outlined below.</w:t>
      </w:r>
      <w:r w:rsidR="005F37B5" w:rsidRPr="005F37B5">
        <w:t xml:space="preserve"> </w:t>
      </w:r>
    </w:p>
    <w:p w14:paraId="542E3786" w14:textId="77777777" w:rsidR="00796595" w:rsidRPr="005F37B5" w:rsidRDefault="005F37B5" w:rsidP="005F37B5">
      <w:pPr>
        <w:pStyle w:val="Normalnumbered"/>
        <w:numPr>
          <w:ilvl w:val="0"/>
          <w:numId w:val="1"/>
        </w:numPr>
      </w:pPr>
      <w:r w:rsidRPr="005F37B5">
        <w:t xml:space="preserve">Parties agree to improve the accuracy of NWAU estimates by allowing </w:t>
      </w:r>
      <w:r w:rsidR="005453BB">
        <w:t>S</w:t>
      </w:r>
      <w:r w:rsidRPr="005F37B5">
        <w:t>tates to provide non-binding advice to the Commonwealth and the Administrator on expected services to be delivered, without the need to vary Service Agreements. The provision of this advice will not affect Commonwealth payments or cash flows to LHNs.</w:t>
      </w:r>
    </w:p>
    <w:p w14:paraId="542E3787" w14:textId="77777777" w:rsidR="00796595" w:rsidRPr="00D654B1" w:rsidRDefault="00796595" w:rsidP="008F5D31">
      <w:pPr>
        <w:spacing w:after="120"/>
        <w:outlineLvl w:val="2"/>
        <w:rPr>
          <w:rFonts w:ascii="Corbel" w:hAnsi="Corbel"/>
          <w:color w:val="3D4B67"/>
          <w:sz w:val="28"/>
          <w:szCs w:val="48"/>
          <w:lang w:eastAsia="ja-JP"/>
        </w:rPr>
      </w:pPr>
      <w:r w:rsidRPr="00D654B1">
        <w:rPr>
          <w:rFonts w:ascii="Corbel" w:hAnsi="Corbel"/>
          <w:color w:val="3D4B67"/>
          <w:sz w:val="28"/>
          <w:szCs w:val="48"/>
          <w:lang w:eastAsia="ja-JP"/>
        </w:rPr>
        <w:t>National health funding pool</w:t>
      </w:r>
    </w:p>
    <w:p w14:paraId="542E3788" w14:textId="77777777" w:rsidR="00796595" w:rsidRPr="00D654B1" w:rsidRDefault="00796595" w:rsidP="00796595">
      <w:pPr>
        <w:pStyle w:val="Normalnumbered"/>
        <w:numPr>
          <w:ilvl w:val="0"/>
          <w:numId w:val="1"/>
        </w:numPr>
      </w:pPr>
      <w:r w:rsidRPr="00D654B1">
        <w:t xml:space="preserve">Consistent with Schedules A and B of the Agreement, the Administrator will continue to calculate and advise the Commonwealth Treasurer of the monthly Commonwealth payments into the National Health Funding Pool. The States, in consultation with the National Health Funding Body (NHFB), will continue to determine when </w:t>
      </w:r>
      <w:r w:rsidR="00175A96">
        <w:t>S</w:t>
      </w:r>
      <w:r w:rsidR="00175A96" w:rsidRPr="00D654B1">
        <w:t xml:space="preserve">tate </w:t>
      </w:r>
      <w:r w:rsidRPr="00D654B1">
        <w:t>payments are made into the</w:t>
      </w:r>
      <w:r w:rsidR="00175A96">
        <w:t xml:space="preserve"> National Health Funding</w:t>
      </w:r>
      <w:r w:rsidRPr="00D654B1">
        <w:t xml:space="preserve"> Pool and State managed funds.</w:t>
      </w:r>
    </w:p>
    <w:p w14:paraId="542E3789" w14:textId="77777777" w:rsidR="00796595" w:rsidRPr="007602C7" w:rsidRDefault="00796595" w:rsidP="00796595">
      <w:pPr>
        <w:pStyle w:val="Normalnumbered"/>
        <w:numPr>
          <w:ilvl w:val="0"/>
          <w:numId w:val="1"/>
        </w:numPr>
      </w:pPr>
      <w:r w:rsidRPr="007602C7">
        <w:t xml:space="preserve">The National Health Funding Pool, the NHFB, and the Administrator will continue to operate as set out in the Agreement, subject to the additional responsibilities conferred </w:t>
      </w:r>
      <w:r w:rsidR="006A2A0A" w:rsidRPr="007602C7">
        <w:t>on the Administrator in this Schedule</w:t>
      </w:r>
      <w:r w:rsidRPr="007602C7">
        <w:t>.</w:t>
      </w:r>
    </w:p>
    <w:p w14:paraId="542E378A" w14:textId="77777777" w:rsidR="00796595" w:rsidRPr="00D05567" w:rsidRDefault="00796595" w:rsidP="00796595">
      <w:pPr>
        <w:spacing w:after="120"/>
        <w:outlineLvl w:val="2"/>
        <w:rPr>
          <w:rFonts w:ascii="Corbel" w:hAnsi="Corbel"/>
          <w:color w:val="3D4B67"/>
          <w:sz w:val="28"/>
          <w:szCs w:val="48"/>
          <w:lang w:eastAsia="ja-JP"/>
        </w:rPr>
      </w:pPr>
      <w:r>
        <w:rPr>
          <w:rFonts w:ascii="Corbel" w:hAnsi="Corbel"/>
          <w:color w:val="3D4B67"/>
          <w:sz w:val="28"/>
          <w:szCs w:val="48"/>
          <w:lang w:eastAsia="ja-JP"/>
        </w:rPr>
        <w:t>Activity based funding</w:t>
      </w:r>
    </w:p>
    <w:p w14:paraId="542E378B" w14:textId="77777777" w:rsidR="00685D26" w:rsidRDefault="006A2A0A" w:rsidP="00796595">
      <w:pPr>
        <w:pStyle w:val="Normalnumbered"/>
        <w:numPr>
          <w:ilvl w:val="0"/>
          <w:numId w:val="1"/>
        </w:numPr>
      </w:pPr>
      <w:r>
        <w:t>T</w:t>
      </w:r>
      <w:r w:rsidR="00796595">
        <w:t xml:space="preserve">he Parties reiterate their commitment to </w:t>
      </w:r>
      <w:r>
        <w:t xml:space="preserve">funding Public Hospital Services under </w:t>
      </w:r>
      <w:r w:rsidR="00685D26">
        <w:t>ABF</w:t>
      </w:r>
      <w:r>
        <w:t xml:space="preserve"> and confirm the ongoing operation of </w:t>
      </w:r>
      <w:r w:rsidR="00796595">
        <w:t xml:space="preserve"> the arrangements and calculation processes contained in Schedule A</w:t>
      </w:r>
      <w:r>
        <w:t xml:space="preserve"> of the Agreement</w:t>
      </w:r>
      <w:r w:rsidR="00796595">
        <w:t>, subject to modification in the Clauses below, including</w:t>
      </w:r>
      <w:r w:rsidR="00685D26">
        <w:t>:</w:t>
      </w:r>
    </w:p>
    <w:p w14:paraId="542E378C" w14:textId="77777777" w:rsidR="00685D26" w:rsidRDefault="00796595" w:rsidP="00685D26">
      <w:pPr>
        <w:pStyle w:val="Normalnumbered"/>
        <w:numPr>
          <w:ilvl w:val="1"/>
          <w:numId w:val="1"/>
        </w:numPr>
      </w:pPr>
      <w:r>
        <w:t xml:space="preserve">the operation of </w:t>
      </w:r>
      <w:r w:rsidR="006A2A0A">
        <w:t xml:space="preserve">the National Funding Cap and </w:t>
      </w:r>
      <w:r w:rsidR="008A7404">
        <w:t>Soft</w:t>
      </w:r>
      <w:r w:rsidR="006A2A0A">
        <w:t xml:space="preserve"> Caps</w:t>
      </w:r>
      <w:r w:rsidR="00685D26">
        <w:t>;</w:t>
      </w:r>
    </w:p>
    <w:p w14:paraId="542E378D" w14:textId="77777777" w:rsidR="00685D26" w:rsidRDefault="006A2A0A" w:rsidP="00685D26">
      <w:pPr>
        <w:pStyle w:val="Normalnumbered"/>
        <w:numPr>
          <w:ilvl w:val="1"/>
          <w:numId w:val="1"/>
        </w:numPr>
      </w:pPr>
      <w:r>
        <w:t xml:space="preserve">the </w:t>
      </w:r>
      <w:r w:rsidR="008E7990">
        <w:t xml:space="preserve">incorporation of </w:t>
      </w:r>
      <w:r w:rsidR="00796595">
        <w:t xml:space="preserve">a </w:t>
      </w:r>
      <w:r w:rsidR="00DB6E78">
        <w:t>Data Conditional Payment</w:t>
      </w:r>
      <w:r w:rsidR="002E7425">
        <w:t xml:space="preserve"> to promote</w:t>
      </w:r>
      <w:r w:rsidR="00796595">
        <w:t xml:space="preserve"> the prompt provision of </w:t>
      </w:r>
      <w:r w:rsidR="00DF702A">
        <w:t>the Required Data</w:t>
      </w:r>
      <w:r w:rsidR="00685D26">
        <w:t>;</w:t>
      </w:r>
      <w:r w:rsidR="00796595">
        <w:t xml:space="preserve"> </w:t>
      </w:r>
      <w:r w:rsidR="008433EB">
        <w:t>and</w:t>
      </w:r>
    </w:p>
    <w:p w14:paraId="542E378E" w14:textId="77777777" w:rsidR="00796595" w:rsidRDefault="00796595" w:rsidP="008433EB">
      <w:pPr>
        <w:pStyle w:val="Normalnumbered"/>
        <w:numPr>
          <w:ilvl w:val="1"/>
          <w:numId w:val="1"/>
        </w:numPr>
      </w:pPr>
      <w:r>
        <w:t>changes in the proportion of efficient growth met by Commonwealth contributions</w:t>
      </w:r>
      <w:r w:rsidR="008433EB">
        <w:t>.</w:t>
      </w:r>
      <w:r>
        <w:t xml:space="preserve"> </w:t>
      </w:r>
    </w:p>
    <w:p w14:paraId="542E378F" w14:textId="77777777" w:rsidR="00796595" w:rsidRPr="008733C8" w:rsidRDefault="00796595" w:rsidP="00796595">
      <w:pPr>
        <w:pStyle w:val="Normalnumbered"/>
        <w:numPr>
          <w:ilvl w:val="0"/>
          <w:numId w:val="1"/>
        </w:numPr>
      </w:pPr>
      <w:r>
        <w:lastRenderedPageBreak/>
        <w:t xml:space="preserve">From 1 July 2017 to 30 June 2020, the Commonwealth will fund 45 per cent of the efficient growth of </w:t>
      </w:r>
      <w:r w:rsidR="00336DB8">
        <w:t>ABF Service delivery</w:t>
      </w:r>
      <w:r>
        <w:t xml:space="preserve">, subject to </w:t>
      </w:r>
      <w:r w:rsidR="00336DB8">
        <w:t xml:space="preserve">the operation of the National Funding Cap. </w:t>
      </w:r>
      <w:r w:rsidRPr="008433EB">
        <w:t>References in the Agreement to a Commonwealth contribution of 50</w:t>
      </w:r>
      <w:r w:rsidR="00B90587">
        <w:t> </w:t>
      </w:r>
      <w:r w:rsidRPr="008433EB">
        <w:t>per</w:t>
      </w:r>
      <w:r w:rsidR="00B90587">
        <w:t> </w:t>
      </w:r>
      <w:r w:rsidRPr="008433EB">
        <w:t xml:space="preserve">cent of efficient growth are not operational for the </w:t>
      </w:r>
      <w:r w:rsidRPr="008733C8">
        <w:t xml:space="preserve">life of this </w:t>
      </w:r>
      <w:r w:rsidR="00B805DB" w:rsidRPr="008733C8">
        <w:t>Part</w:t>
      </w:r>
      <w:r w:rsidRPr="008733C8">
        <w:t>.</w:t>
      </w:r>
    </w:p>
    <w:p w14:paraId="542E3790" w14:textId="77777777" w:rsidR="00796595" w:rsidRPr="008733C8" w:rsidRDefault="00796595" w:rsidP="00796595">
      <w:pPr>
        <w:pStyle w:val="Normalnumbered"/>
        <w:numPr>
          <w:ilvl w:val="0"/>
          <w:numId w:val="1"/>
        </w:numPr>
      </w:pPr>
      <w:r w:rsidRPr="008733C8">
        <w:t>Consistent with Clause A34 of the Agreement</w:t>
      </w:r>
      <w:r w:rsidR="005A5714" w:rsidRPr="008733C8">
        <w:t xml:space="preserve"> and subject to the </w:t>
      </w:r>
      <w:r w:rsidR="00336DB8" w:rsidRPr="008733C8">
        <w:t>operation of the National Funding Cap</w:t>
      </w:r>
      <w:r w:rsidRPr="008733C8">
        <w:t xml:space="preserve">, for the period 1 July 2017 to 30 June </w:t>
      </w:r>
      <w:r w:rsidR="00DB563E">
        <w:t xml:space="preserve">2020 the Commonwealth’s funding </w:t>
      </w:r>
      <w:r w:rsidRPr="00DB563E">
        <w:t xml:space="preserve">for each category </w:t>
      </w:r>
      <w:r w:rsidR="00336DB8" w:rsidRPr="00DB563E">
        <w:t>of ABF Service</w:t>
      </w:r>
      <w:r w:rsidR="00336DB8" w:rsidRPr="008733C8">
        <w:t xml:space="preserve"> </w:t>
      </w:r>
      <w:r w:rsidRPr="008733C8">
        <w:t>will be calculated individually for each State by summing:</w:t>
      </w:r>
    </w:p>
    <w:p w14:paraId="542E3791" w14:textId="77777777" w:rsidR="00796595" w:rsidRPr="008733C8" w:rsidRDefault="00796595" w:rsidP="00796595">
      <w:pPr>
        <w:pStyle w:val="Normalnumbered"/>
        <w:numPr>
          <w:ilvl w:val="1"/>
          <w:numId w:val="1"/>
        </w:numPr>
      </w:pPr>
      <w:r w:rsidRPr="008733C8">
        <w:rPr>
          <w:i/>
        </w:rPr>
        <w:t>previous year amount</w:t>
      </w:r>
      <w:r w:rsidRPr="008733C8">
        <w:t xml:space="preserve">—the Commonwealth’s percentage funding rate for the relevant State in the previous year, multiplied by the volume of weighted </w:t>
      </w:r>
      <w:r w:rsidR="00336DB8" w:rsidRPr="008733C8">
        <w:t xml:space="preserve">ABF Services </w:t>
      </w:r>
      <w:r w:rsidRPr="008733C8">
        <w:t>provided in the previous year, multiplied by the National Efficient Price (NEP) in the previous year;</w:t>
      </w:r>
    </w:p>
    <w:p w14:paraId="542E3792" w14:textId="77777777" w:rsidR="00796595" w:rsidRPr="008733C8" w:rsidRDefault="00796595" w:rsidP="00796595">
      <w:pPr>
        <w:pStyle w:val="Normalnumbered"/>
        <w:numPr>
          <w:ilvl w:val="1"/>
          <w:numId w:val="1"/>
        </w:numPr>
      </w:pPr>
      <w:r w:rsidRPr="008733C8">
        <w:rPr>
          <w:i/>
        </w:rPr>
        <w:t>price adjustment</w:t>
      </w:r>
      <w:r w:rsidRPr="008733C8">
        <w:t>—the volume of weighted services provided in the previous year, multiplied by the change in the NEP relative to the previous year, multiplied by 45 per cent; and</w:t>
      </w:r>
    </w:p>
    <w:p w14:paraId="542E3793" w14:textId="77777777" w:rsidR="00796595" w:rsidRPr="008733C8" w:rsidRDefault="00796595" w:rsidP="00796595">
      <w:pPr>
        <w:pStyle w:val="Normalnumbered"/>
        <w:numPr>
          <w:ilvl w:val="1"/>
          <w:numId w:val="1"/>
        </w:numPr>
      </w:pPr>
      <w:r w:rsidRPr="008733C8">
        <w:rPr>
          <w:i/>
        </w:rPr>
        <w:t>volume adjustment</w:t>
      </w:r>
      <w:r w:rsidRPr="008733C8">
        <w:t xml:space="preserve">—the net change in volume of weighted services to be provided in the relevant State (relative to the volume of weighted </w:t>
      </w:r>
      <w:r w:rsidR="00336DB8" w:rsidRPr="008733C8">
        <w:t xml:space="preserve">ABF Services </w:t>
      </w:r>
      <w:r w:rsidRPr="008733C8">
        <w:t>provided in the previous year), multiplied by the NEP, multiplied by 45 per cent.</w:t>
      </w:r>
    </w:p>
    <w:p w14:paraId="542E3794" w14:textId="77777777" w:rsidR="003A1D26" w:rsidRPr="00A33234" w:rsidRDefault="00796595" w:rsidP="003A1D26">
      <w:pPr>
        <w:pStyle w:val="Normalnumbered"/>
        <w:numPr>
          <w:ilvl w:val="0"/>
          <w:numId w:val="1"/>
        </w:numPr>
      </w:pPr>
      <w:r>
        <w:t xml:space="preserve">The Commonwealth’s contribution to </w:t>
      </w:r>
      <w:r w:rsidR="00336DB8">
        <w:t xml:space="preserve">funding Public Hospital Services on an </w:t>
      </w:r>
      <w:r w:rsidR="00685D26">
        <w:t>ABF</w:t>
      </w:r>
      <w:r>
        <w:t xml:space="preserve"> </w:t>
      </w:r>
      <w:r w:rsidR="00336DB8">
        <w:t xml:space="preserve">basis </w:t>
      </w:r>
      <w:r>
        <w:t xml:space="preserve">(including efficient growth) will be calculated at the start of each financial year, and </w:t>
      </w:r>
      <w:r w:rsidR="008733C8">
        <w:t xml:space="preserve">may </w:t>
      </w:r>
      <w:r>
        <w:t xml:space="preserve">be updated or revised based on advice from the Administrator, including a final </w:t>
      </w:r>
      <w:r w:rsidR="00DF702A">
        <w:t>R</w:t>
      </w:r>
      <w:r>
        <w:t xml:space="preserve">econciliation of </w:t>
      </w:r>
      <w:r w:rsidR="00336DB8">
        <w:t>Public Hospital Services</w:t>
      </w:r>
      <w:r>
        <w:t xml:space="preserve">, consistent with current arrangements under the Agreement. </w:t>
      </w:r>
    </w:p>
    <w:p w14:paraId="542E3795" w14:textId="77777777" w:rsidR="00796595" w:rsidRPr="00CA6BD8" w:rsidRDefault="00796595" w:rsidP="008F5D31">
      <w:pPr>
        <w:spacing w:after="120"/>
        <w:outlineLvl w:val="2"/>
        <w:rPr>
          <w:rFonts w:ascii="Corbel" w:hAnsi="Corbel"/>
          <w:color w:val="3D4B67"/>
          <w:sz w:val="28"/>
          <w:szCs w:val="48"/>
          <w:lang w:eastAsia="ja-JP"/>
        </w:rPr>
      </w:pPr>
      <w:r w:rsidRPr="00CA6BD8">
        <w:rPr>
          <w:rFonts w:ascii="Corbel" w:hAnsi="Corbel"/>
          <w:color w:val="3D4B67"/>
          <w:sz w:val="28"/>
          <w:szCs w:val="48"/>
          <w:lang w:eastAsia="ja-JP"/>
        </w:rPr>
        <w:t>Block funded services funding</w:t>
      </w:r>
    </w:p>
    <w:p w14:paraId="542E3796" w14:textId="77777777" w:rsidR="00796595" w:rsidRDefault="00336DB8" w:rsidP="00796595">
      <w:pPr>
        <w:pStyle w:val="Normalnumbered"/>
        <w:numPr>
          <w:ilvl w:val="0"/>
          <w:numId w:val="1"/>
        </w:numPr>
      </w:pPr>
      <w:r>
        <w:t>The Commonwealth will continue to provide funding to States for Public Ho</w:t>
      </w:r>
      <w:r w:rsidR="0043142C">
        <w:t xml:space="preserve">spital Services </w:t>
      </w:r>
      <w:r w:rsidR="00796595">
        <w:t xml:space="preserve">or functions </w:t>
      </w:r>
      <w:r w:rsidR="0043142C">
        <w:t xml:space="preserve">that </w:t>
      </w:r>
      <w:r w:rsidR="00796595">
        <w:t xml:space="preserve">are more appropriately funded through </w:t>
      </w:r>
      <w:r w:rsidR="0043142C">
        <w:t>Block Funding in accordance with Schedule A and will fund</w:t>
      </w:r>
      <w:r w:rsidR="00796595">
        <w:t xml:space="preserve"> 45 per cent of the </w:t>
      </w:r>
      <w:r w:rsidR="0043142C">
        <w:t xml:space="preserve">growth in the </w:t>
      </w:r>
      <w:r w:rsidR="00796595">
        <w:t xml:space="preserve">efficient </w:t>
      </w:r>
      <w:r w:rsidR="0043142C">
        <w:t xml:space="preserve">cost </w:t>
      </w:r>
      <w:r w:rsidR="00796595">
        <w:t>of providing these services</w:t>
      </w:r>
      <w:r w:rsidR="0043142C">
        <w:t xml:space="preserve"> or performing these functions</w:t>
      </w:r>
      <w:r w:rsidR="00796595">
        <w:t xml:space="preserve">. References in the Agreement to a Commonwealth contribution of </w:t>
      </w:r>
      <w:r w:rsidR="00ED2344">
        <w:t>50 </w:t>
      </w:r>
      <w:r w:rsidR="00796595">
        <w:t xml:space="preserve">per cent of </w:t>
      </w:r>
      <w:r w:rsidR="0043142C">
        <w:t xml:space="preserve">the growth in the </w:t>
      </w:r>
      <w:r w:rsidR="00796595">
        <w:t xml:space="preserve">efficient </w:t>
      </w:r>
      <w:r w:rsidR="0043142C">
        <w:t xml:space="preserve">cost </w:t>
      </w:r>
      <w:r w:rsidR="00796595">
        <w:t xml:space="preserve">are not operational for the life of this </w:t>
      </w:r>
      <w:r w:rsidR="00B805DB">
        <w:t>Part</w:t>
      </w:r>
      <w:r w:rsidR="00796595">
        <w:t>.</w:t>
      </w:r>
    </w:p>
    <w:p w14:paraId="542E3797" w14:textId="77777777" w:rsidR="00796595" w:rsidRDefault="00796595" w:rsidP="008433EB">
      <w:pPr>
        <w:pStyle w:val="Normalnumbered"/>
        <w:numPr>
          <w:ilvl w:val="1"/>
          <w:numId w:val="1"/>
        </w:numPr>
      </w:pPr>
      <w:r w:rsidRPr="00CA6BD8">
        <w:t xml:space="preserve">Commonwealth payments for </w:t>
      </w:r>
      <w:r>
        <w:t>block funded services</w:t>
      </w:r>
      <w:r w:rsidRPr="00CA6BD8">
        <w:t xml:space="preserve"> for the </w:t>
      </w:r>
      <w:r>
        <w:t xml:space="preserve">life of this </w:t>
      </w:r>
      <w:r w:rsidR="00B805DB">
        <w:t>Part</w:t>
      </w:r>
      <w:r w:rsidR="00B805DB" w:rsidRPr="00CA6BD8">
        <w:t xml:space="preserve"> </w:t>
      </w:r>
      <w:r w:rsidRPr="00CA6BD8">
        <w:t xml:space="preserve">will </w:t>
      </w:r>
      <w:r>
        <w:t>continue to be calculated consistent with the process outlined in Schedule A of the Agreement</w:t>
      </w:r>
      <w:r w:rsidR="0043142C">
        <w:t xml:space="preserve">, with the exception </w:t>
      </w:r>
      <w:r w:rsidR="005453BB">
        <w:t>t</w:t>
      </w:r>
      <w:r w:rsidR="00122B48">
        <w:t xml:space="preserve">hat the Commonwealth will fund </w:t>
      </w:r>
      <w:r w:rsidR="005453BB">
        <w:t xml:space="preserve">45 per cent of </w:t>
      </w:r>
      <w:r w:rsidR="00177CD6">
        <w:t xml:space="preserve">the growth in the </w:t>
      </w:r>
      <w:r w:rsidR="005453BB">
        <w:t xml:space="preserve">efficient </w:t>
      </w:r>
      <w:r w:rsidR="00177CD6">
        <w:t>cost</w:t>
      </w:r>
      <w:r w:rsidR="005453BB">
        <w:t>.</w:t>
      </w:r>
      <w:r>
        <w:t xml:space="preserve"> </w:t>
      </w:r>
    </w:p>
    <w:p w14:paraId="542E3798" w14:textId="77777777" w:rsidR="00796595" w:rsidRPr="00CA6BD8" w:rsidRDefault="00796595" w:rsidP="00796595">
      <w:pPr>
        <w:spacing w:after="120"/>
        <w:outlineLvl w:val="2"/>
        <w:rPr>
          <w:rFonts w:ascii="Corbel" w:hAnsi="Corbel"/>
          <w:color w:val="3D4B67"/>
          <w:sz w:val="28"/>
          <w:szCs w:val="48"/>
          <w:lang w:eastAsia="ja-JP"/>
        </w:rPr>
      </w:pPr>
      <w:r w:rsidRPr="00CA6BD8">
        <w:rPr>
          <w:rFonts w:ascii="Corbel" w:hAnsi="Corbel"/>
          <w:color w:val="3D4B67"/>
          <w:sz w:val="28"/>
          <w:szCs w:val="48"/>
          <w:lang w:eastAsia="ja-JP"/>
        </w:rPr>
        <w:t>Public health activity funding</w:t>
      </w:r>
    </w:p>
    <w:p w14:paraId="542E3799" w14:textId="77777777" w:rsidR="00796595" w:rsidRDefault="00796595" w:rsidP="000A64FC">
      <w:pPr>
        <w:pStyle w:val="Normalnumbered"/>
        <w:numPr>
          <w:ilvl w:val="0"/>
          <w:numId w:val="1"/>
        </w:numPr>
      </w:pPr>
      <w:r w:rsidRPr="00CA6BD8">
        <w:t xml:space="preserve">Commonwealth payments for public health activities for the </w:t>
      </w:r>
      <w:r>
        <w:t xml:space="preserve">life of this </w:t>
      </w:r>
      <w:r w:rsidR="00B805DB">
        <w:t>Part</w:t>
      </w:r>
      <w:r w:rsidR="00B805DB" w:rsidRPr="00CA6BD8">
        <w:t xml:space="preserve"> </w:t>
      </w:r>
      <w:r w:rsidRPr="00CA6BD8">
        <w:t xml:space="preserve">will </w:t>
      </w:r>
      <w:r>
        <w:t xml:space="preserve">continue to be calculated </w:t>
      </w:r>
      <w:r w:rsidR="0043142C">
        <w:t xml:space="preserve">in accordance </w:t>
      </w:r>
      <w:r>
        <w:t xml:space="preserve">with Schedule A of the Agreement. </w:t>
      </w:r>
    </w:p>
    <w:p w14:paraId="542E379A" w14:textId="77777777" w:rsidR="002B1A81" w:rsidRPr="002B1A81" w:rsidRDefault="00796595" w:rsidP="00796595">
      <w:pPr>
        <w:spacing w:after="120"/>
        <w:outlineLvl w:val="2"/>
        <w:rPr>
          <w:rFonts w:ascii="Corbel" w:hAnsi="Corbel"/>
          <w:i/>
          <w:color w:val="3D4B67"/>
          <w:szCs w:val="48"/>
          <w:lang w:eastAsia="ja-JP"/>
        </w:rPr>
      </w:pPr>
      <w:r w:rsidRPr="00F50904">
        <w:rPr>
          <w:rFonts w:ascii="Corbel" w:hAnsi="Corbel"/>
          <w:color w:val="3D4B67"/>
          <w:sz w:val="28"/>
          <w:szCs w:val="48"/>
          <w:lang w:eastAsia="ja-JP"/>
        </w:rPr>
        <w:t>Funding cap</w:t>
      </w:r>
    </w:p>
    <w:p w14:paraId="542E379B" w14:textId="77777777" w:rsidR="00B019AD" w:rsidRDefault="0043142C" w:rsidP="00B019AD">
      <w:pPr>
        <w:pStyle w:val="Normalnumbered"/>
        <w:numPr>
          <w:ilvl w:val="0"/>
          <w:numId w:val="1"/>
        </w:numPr>
      </w:pPr>
      <w:r>
        <w:t xml:space="preserve">The </w:t>
      </w:r>
      <w:r w:rsidR="00B019AD" w:rsidRPr="00A316BA">
        <w:t xml:space="preserve">Parties agree to give effect to a cap in </w:t>
      </w:r>
      <w:r w:rsidR="008D333C">
        <w:t>overall</w:t>
      </w:r>
      <w:r w:rsidR="008D333C" w:rsidRPr="00A316BA">
        <w:t xml:space="preserve"> </w:t>
      </w:r>
      <w:r w:rsidR="00B019AD" w:rsidRPr="00A316BA">
        <w:t xml:space="preserve">growth in Commonwealth funding of 6.5 per cent a year </w:t>
      </w:r>
      <w:r w:rsidR="00B019AD">
        <w:t xml:space="preserve">(the </w:t>
      </w:r>
      <w:r>
        <w:t xml:space="preserve">National </w:t>
      </w:r>
      <w:r w:rsidR="00B019AD">
        <w:t xml:space="preserve">Funding Cap) </w:t>
      </w:r>
      <w:r w:rsidR="00B019AD" w:rsidRPr="00A316BA">
        <w:t>for the period 2017</w:t>
      </w:r>
      <w:r w:rsidR="00B019AD" w:rsidRPr="00A316BA">
        <w:noBreakHyphen/>
        <w:t>18 to 2019</w:t>
      </w:r>
      <w:r w:rsidR="00B019AD" w:rsidRPr="00A316BA">
        <w:noBreakHyphen/>
        <w:t>20.</w:t>
      </w:r>
      <w:r w:rsidR="00ED7223">
        <w:t xml:space="preserve"> </w:t>
      </w:r>
      <w:r w:rsidR="00B019AD">
        <w:t>In doing so, it is the intention of the Parties that:</w:t>
      </w:r>
    </w:p>
    <w:p w14:paraId="542E379C" w14:textId="77777777" w:rsidR="0043142C" w:rsidRDefault="0043142C" w:rsidP="00B019AD">
      <w:pPr>
        <w:pStyle w:val="Normalnumbered"/>
        <w:numPr>
          <w:ilvl w:val="1"/>
          <w:numId w:val="18"/>
        </w:numPr>
        <w:ind w:left="1080"/>
      </w:pPr>
      <w:r>
        <w:lastRenderedPageBreak/>
        <w:t xml:space="preserve">A </w:t>
      </w:r>
      <w:r w:rsidR="008A7404">
        <w:t>Soft</w:t>
      </w:r>
      <w:r>
        <w:t xml:space="preserve"> Cap will be applied to the Commonwealth Funding Entitlement of each State throughout the relevant financial year; </w:t>
      </w:r>
    </w:p>
    <w:p w14:paraId="542E379D" w14:textId="77777777" w:rsidR="0043142C" w:rsidRDefault="0043142C" w:rsidP="00B019AD">
      <w:pPr>
        <w:pStyle w:val="Normalnumbered"/>
        <w:numPr>
          <w:ilvl w:val="1"/>
          <w:numId w:val="18"/>
        </w:numPr>
        <w:ind w:left="1080"/>
      </w:pPr>
      <w:r>
        <w:t xml:space="preserve">Any funding remaining under the National Funding Cap will be subject to </w:t>
      </w:r>
      <w:r w:rsidR="00275E52" w:rsidRPr="0057539D">
        <w:t xml:space="preserve">proportionate </w:t>
      </w:r>
      <w:r w:rsidR="00936216" w:rsidRPr="0057539D">
        <w:t>R</w:t>
      </w:r>
      <w:r w:rsidRPr="0057539D">
        <w:t>edistribution as part of the annual Reconciliation under Clause</w:t>
      </w:r>
      <w:r w:rsidR="00D25729" w:rsidRPr="0057539D">
        <w:t> </w:t>
      </w:r>
      <w:r w:rsidRPr="0057539D">
        <w:t>I2</w:t>
      </w:r>
      <w:r w:rsidR="008C48BB" w:rsidRPr="0057539D">
        <w:t>7</w:t>
      </w:r>
      <w:r w:rsidRPr="0057539D">
        <w:t>;</w:t>
      </w:r>
      <w:r>
        <w:t xml:space="preserve"> </w:t>
      </w:r>
    </w:p>
    <w:p w14:paraId="542E379E" w14:textId="77777777" w:rsidR="00B019AD" w:rsidRDefault="00B019AD" w:rsidP="00B019AD">
      <w:pPr>
        <w:pStyle w:val="Normalnumbered"/>
        <w:numPr>
          <w:ilvl w:val="1"/>
          <w:numId w:val="18"/>
        </w:numPr>
        <w:ind w:left="1080"/>
      </w:pPr>
      <w:r>
        <w:t xml:space="preserve">while the </w:t>
      </w:r>
      <w:r w:rsidR="0043142C">
        <w:t xml:space="preserve">National </w:t>
      </w:r>
      <w:r w:rsidR="002249C2">
        <w:t xml:space="preserve">Funding Cap </w:t>
      </w:r>
      <w:r w:rsidR="0043142C">
        <w:t xml:space="preserve">applies to Commonwealth contributions to Public Hospital </w:t>
      </w:r>
      <w:r w:rsidR="00DF702A">
        <w:t xml:space="preserve">Services </w:t>
      </w:r>
      <w:r w:rsidR="0043142C">
        <w:t>in aggregate,</w:t>
      </w:r>
      <w:r>
        <w:t xml:space="preserve"> any adjustments to funding as a result of the </w:t>
      </w:r>
      <w:r w:rsidR="0043142C">
        <w:t xml:space="preserve">National </w:t>
      </w:r>
      <w:r>
        <w:t xml:space="preserve">Funding Cap will be applied to the Commonwealth funding contribution for ABF </w:t>
      </w:r>
      <w:r w:rsidR="0043142C">
        <w:t xml:space="preserve">Services </w:t>
      </w:r>
      <w:r>
        <w:t xml:space="preserve">only; </w:t>
      </w:r>
    </w:p>
    <w:p w14:paraId="542E379F" w14:textId="77777777" w:rsidR="00275E52" w:rsidRDefault="008433EB" w:rsidP="008433EB">
      <w:pPr>
        <w:pStyle w:val="Normalnumbered"/>
        <w:numPr>
          <w:ilvl w:val="1"/>
          <w:numId w:val="18"/>
        </w:numPr>
        <w:ind w:left="1080"/>
      </w:pPr>
      <w:r w:rsidRPr="008433EB">
        <w:t xml:space="preserve">should the growth in Commonwealth funding under this Agreement not exceed 6.5 per cent at a national level, each State will receive its </w:t>
      </w:r>
      <w:r w:rsidR="00DF702A">
        <w:t>U</w:t>
      </w:r>
      <w:r w:rsidRPr="008433EB">
        <w:t xml:space="preserve">ncapped Commonwealth </w:t>
      </w:r>
      <w:r w:rsidR="00DF702A">
        <w:t>F</w:t>
      </w:r>
      <w:r w:rsidRPr="008433EB">
        <w:t xml:space="preserve">unding </w:t>
      </w:r>
      <w:r w:rsidR="00DF702A">
        <w:t>E</w:t>
      </w:r>
      <w:r w:rsidRPr="008433EB">
        <w:t>ntitlement</w:t>
      </w:r>
      <w:r w:rsidR="00DF702A">
        <w:t xml:space="preserve"> for that State</w:t>
      </w:r>
      <w:r w:rsidR="001116B9">
        <w:t>; and</w:t>
      </w:r>
      <w:r w:rsidRPr="008433EB">
        <w:t xml:space="preserve"> </w:t>
      </w:r>
    </w:p>
    <w:p w14:paraId="542E37A0" w14:textId="77777777" w:rsidR="00B019AD" w:rsidRDefault="00936216" w:rsidP="00275E52">
      <w:pPr>
        <w:pStyle w:val="Normalnumbered"/>
        <w:numPr>
          <w:ilvl w:val="1"/>
          <w:numId w:val="18"/>
        </w:numPr>
        <w:ind w:left="1080"/>
      </w:pPr>
      <w:r>
        <w:t>no</w:t>
      </w:r>
      <w:r w:rsidR="00B019AD">
        <w:t xml:space="preserve"> </w:t>
      </w:r>
      <w:r w:rsidR="002249C2">
        <w:t xml:space="preserve">State </w:t>
      </w:r>
      <w:r w:rsidR="00B019AD">
        <w:t xml:space="preserve">will receive </w:t>
      </w:r>
      <w:r>
        <w:t xml:space="preserve">more than </w:t>
      </w:r>
      <w:r w:rsidR="00B019AD">
        <w:t xml:space="preserve">its </w:t>
      </w:r>
      <w:r w:rsidR="0043142C">
        <w:t xml:space="preserve">Uncapped </w:t>
      </w:r>
      <w:r w:rsidR="00B019AD">
        <w:t xml:space="preserve">Commonwealth </w:t>
      </w:r>
      <w:r w:rsidR="0043142C">
        <w:t xml:space="preserve">Funding Entitlement </w:t>
      </w:r>
      <w:r>
        <w:t xml:space="preserve">for Public Hospital Services delivered in a relevant financial year. </w:t>
      </w:r>
    </w:p>
    <w:p w14:paraId="542E37A1" w14:textId="77777777" w:rsidR="00B019AD" w:rsidRPr="00776824" w:rsidRDefault="00B019AD" w:rsidP="00B019AD">
      <w:pPr>
        <w:spacing w:after="120"/>
        <w:outlineLvl w:val="2"/>
        <w:rPr>
          <w:rFonts w:ascii="Corbel" w:hAnsi="Corbel"/>
          <w:i/>
          <w:color w:val="3D4B67"/>
          <w:szCs w:val="48"/>
          <w:lang w:eastAsia="ja-JP"/>
        </w:rPr>
      </w:pPr>
      <w:r>
        <w:rPr>
          <w:rFonts w:ascii="Corbel" w:hAnsi="Corbel"/>
          <w:i/>
          <w:color w:val="3D4B67"/>
          <w:szCs w:val="48"/>
          <w:lang w:eastAsia="ja-JP"/>
        </w:rPr>
        <w:t>Role of the Administrator</w:t>
      </w:r>
    </w:p>
    <w:p w14:paraId="542E37A2" w14:textId="77777777" w:rsidR="00B019AD" w:rsidRDefault="00E17858" w:rsidP="00B019AD">
      <w:pPr>
        <w:pStyle w:val="Normalnumbered"/>
        <w:numPr>
          <w:ilvl w:val="0"/>
          <w:numId w:val="1"/>
        </w:numPr>
      </w:pPr>
      <w:r>
        <w:t xml:space="preserve">The Administrator will apply the National Funding Cap and </w:t>
      </w:r>
      <w:r w:rsidR="008A7404">
        <w:t>Soft</w:t>
      </w:r>
      <w:r>
        <w:t xml:space="preserve"> Cap in </w:t>
      </w:r>
      <w:r w:rsidR="00B019AD">
        <w:t xml:space="preserve">calculating and </w:t>
      </w:r>
      <w:r>
        <w:t xml:space="preserve">delivering advice to </w:t>
      </w:r>
      <w:r w:rsidR="00B019AD">
        <w:t xml:space="preserve">the Commonwealth Treasurer </w:t>
      </w:r>
      <w:r>
        <w:t xml:space="preserve">in respect </w:t>
      </w:r>
      <w:r w:rsidR="00B019AD">
        <w:t>of the Commonwealth contribution to the National Health Funding Pool under the Agreement</w:t>
      </w:r>
      <w:r>
        <w:t>.</w:t>
      </w:r>
    </w:p>
    <w:p w14:paraId="542E37A3" w14:textId="77777777" w:rsidR="00B019AD" w:rsidRPr="00C36EDA" w:rsidRDefault="00B019AD" w:rsidP="00B019AD">
      <w:pPr>
        <w:spacing w:after="120"/>
        <w:outlineLvl w:val="2"/>
        <w:rPr>
          <w:rFonts w:ascii="Corbel" w:hAnsi="Corbel"/>
          <w:i/>
          <w:color w:val="3D4B67"/>
          <w:szCs w:val="48"/>
          <w:lang w:eastAsia="ja-JP"/>
        </w:rPr>
      </w:pPr>
      <w:r w:rsidRPr="00C36EDA">
        <w:rPr>
          <w:rFonts w:ascii="Corbel" w:hAnsi="Corbel"/>
          <w:i/>
          <w:color w:val="3D4B67"/>
          <w:szCs w:val="48"/>
          <w:lang w:eastAsia="ja-JP"/>
        </w:rPr>
        <w:t>Determining preliminary Commonwealth funding</w:t>
      </w:r>
    </w:p>
    <w:p w14:paraId="542E37A4" w14:textId="77777777" w:rsidR="00B019AD" w:rsidRDefault="00B019AD" w:rsidP="00B019AD">
      <w:pPr>
        <w:pStyle w:val="Normalnumbered"/>
        <w:numPr>
          <w:ilvl w:val="0"/>
          <w:numId w:val="1"/>
        </w:numPr>
      </w:pPr>
      <w:r>
        <w:t xml:space="preserve">Prior to the commencement of </w:t>
      </w:r>
      <w:r w:rsidR="00E17858">
        <w:t xml:space="preserve">a </w:t>
      </w:r>
      <w:r>
        <w:t xml:space="preserve">relevant financial year covered by this </w:t>
      </w:r>
      <w:r w:rsidR="00B805DB">
        <w:t>Part</w:t>
      </w:r>
      <w:r>
        <w:t xml:space="preserve">, the Administrator will calculate a </w:t>
      </w:r>
      <w:r w:rsidR="002249C2">
        <w:t xml:space="preserve">State’s </w:t>
      </w:r>
      <w:r w:rsidR="00E17858">
        <w:t>estimated Commonwealth Funding Entitlement</w:t>
      </w:r>
      <w:r>
        <w:t xml:space="preserve"> as the lower of:</w:t>
      </w:r>
    </w:p>
    <w:p w14:paraId="542E37A5" w14:textId="77777777" w:rsidR="00B019AD" w:rsidRDefault="008433EB" w:rsidP="002249C2">
      <w:pPr>
        <w:pStyle w:val="Normalnumbered"/>
        <w:numPr>
          <w:ilvl w:val="0"/>
          <w:numId w:val="20"/>
        </w:numPr>
        <w:ind w:left="1134"/>
      </w:pPr>
      <w:r>
        <w:t xml:space="preserve">106.5 per cent of the </w:t>
      </w:r>
      <w:r w:rsidR="002249C2">
        <w:t xml:space="preserve">State’s </w:t>
      </w:r>
      <w:r w:rsidR="00E17858">
        <w:t>most recent estimated Commonwealth Funding Entitlement for the State for the previous financial year</w:t>
      </w:r>
      <w:r w:rsidR="00B019AD" w:rsidRPr="00B0011E">
        <w:t>, excluding</w:t>
      </w:r>
      <w:r w:rsidR="00B019AD">
        <w:t xml:space="preserve"> any adjustments relating to prior year activities; or</w:t>
      </w:r>
    </w:p>
    <w:p w14:paraId="542E37A6" w14:textId="77777777" w:rsidR="00B019AD" w:rsidRPr="00D46058" w:rsidRDefault="00B019AD" w:rsidP="002249C2">
      <w:pPr>
        <w:pStyle w:val="Normalnumbered"/>
        <w:numPr>
          <w:ilvl w:val="0"/>
          <w:numId w:val="20"/>
        </w:numPr>
        <w:ind w:left="1134"/>
      </w:pPr>
      <w:r>
        <w:t xml:space="preserve">That </w:t>
      </w:r>
      <w:r w:rsidR="002249C2">
        <w:t xml:space="preserve">State’s </w:t>
      </w:r>
      <w:r w:rsidR="00E17858">
        <w:t xml:space="preserve">estimated Uncapped </w:t>
      </w:r>
      <w:r w:rsidRPr="00D46058">
        <w:t xml:space="preserve">Commonwealth </w:t>
      </w:r>
      <w:r w:rsidR="00E17858">
        <w:t>F</w:t>
      </w:r>
      <w:r w:rsidR="00E17858" w:rsidRPr="00D46058">
        <w:t xml:space="preserve">unding </w:t>
      </w:r>
      <w:r w:rsidR="00E17858">
        <w:t>E</w:t>
      </w:r>
      <w:r w:rsidR="00E17858" w:rsidRPr="00D46058">
        <w:t xml:space="preserve">ntitlement </w:t>
      </w:r>
      <w:r w:rsidR="00E17858">
        <w:t>for the relevant financial year</w:t>
      </w:r>
      <w:r w:rsidRPr="00D46058">
        <w:t>.</w:t>
      </w:r>
    </w:p>
    <w:p w14:paraId="542E37A7" w14:textId="77777777" w:rsidR="00B019AD" w:rsidRPr="00D46058" w:rsidRDefault="003753F8" w:rsidP="00B019AD">
      <w:pPr>
        <w:pStyle w:val="Normalnumbered"/>
        <w:numPr>
          <w:ilvl w:val="0"/>
          <w:numId w:val="1"/>
        </w:numPr>
      </w:pPr>
      <w:r>
        <w:t>Estimated Commonwealth Funding</w:t>
      </w:r>
      <w:r w:rsidR="00B019AD" w:rsidRPr="00D46058">
        <w:t xml:space="preserve"> entitlements can be updated during the course of the year as outlined in Clause B57 of the Agreement. Adjustments to payments remain subject to the </w:t>
      </w:r>
      <w:r w:rsidR="008A7404">
        <w:t>Soft</w:t>
      </w:r>
      <w:r w:rsidR="00B019AD" w:rsidRPr="00D46058">
        <w:t xml:space="preserve"> Cap. </w:t>
      </w:r>
    </w:p>
    <w:p w14:paraId="542E37A8" w14:textId="77777777" w:rsidR="00AC5A22" w:rsidRPr="00AC5A22" w:rsidRDefault="00B019AD" w:rsidP="00722964">
      <w:pPr>
        <w:pStyle w:val="Normalnumbered"/>
        <w:numPr>
          <w:ilvl w:val="0"/>
          <w:numId w:val="1"/>
        </w:numPr>
      </w:pPr>
      <w:r>
        <w:t xml:space="preserve">For the avoidance of doubt, a </w:t>
      </w:r>
      <w:r w:rsidR="002249C2">
        <w:t xml:space="preserve">State </w:t>
      </w:r>
      <w:r>
        <w:t>will not receive</w:t>
      </w:r>
      <w:r w:rsidR="002249C2">
        <w:t xml:space="preserve"> any </w:t>
      </w:r>
      <w:r w:rsidR="003753F8">
        <w:t xml:space="preserve">Commonwealth funding in excess of the </w:t>
      </w:r>
      <w:r w:rsidR="008A7404">
        <w:t>Soft</w:t>
      </w:r>
      <w:r w:rsidR="003753F8">
        <w:t xml:space="preserve"> Cap</w:t>
      </w:r>
      <w:r>
        <w:t xml:space="preserve"> </w:t>
      </w:r>
      <w:r w:rsidR="003753F8">
        <w:t>until after annual</w:t>
      </w:r>
      <w:r>
        <w:t xml:space="preserve"> reconciliation</w:t>
      </w:r>
      <w:r w:rsidR="003753F8">
        <w:t>, at which time it may be entitled to payment of a Redistribution Amount</w:t>
      </w:r>
      <w:r>
        <w:t xml:space="preserve">. </w:t>
      </w:r>
    </w:p>
    <w:p w14:paraId="542E37A9" w14:textId="77777777" w:rsidR="00B019AD" w:rsidRPr="00C36EDA" w:rsidRDefault="00B019AD" w:rsidP="00B019AD">
      <w:pPr>
        <w:spacing w:after="120"/>
        <w:outlineLvl w:val="2"/>
        <w:rPr>
          <w:rFonts w:ascii="Corbel" w:hAnsi="Corbel"/>
          <w:i/>
          <w:color w:val="3D4B67"/>
          <w:szCs w:val="48"/>
          <w:lang w:eastAsia="ja-JP"/>
        </w:rPr>
      </w:pPr>
      <w:r w:rsidRPr="00C36EDA">
        <w:rPr>
          <w:rFonts w:ascii="Corbel" w:hAnsi="Corbel"/>
          <w:i/>
          <w:color w:val="3D4B67"/>
          <w:szCs w:val="48"/>
          <w:lang w:eastAsia="ja-JP"/>
        </w:rPr>
        <w:t xml:space="preserve">Determining </w:t>
      </w:r>
      <w:r>
        <w:rPr>
          <w:rFonts w:ascii="Corbel" w:hAnsi="Corbel"/>
          <w:i/>
          <w:color w:val="3D4B67"/>
          <w:szCs w:val="48"/>
          <w:lang w:eastAsia="ja-JP"/>
        </w:rPr>
        <w:t>final Commonwealth funding</w:t>
      </w:r>
    </w:p>
    <w:p w14:paraId="542E37AA" w14:textId="77777777" w:rsidR="003753F8" w:rsidRDefault="003753F8" w:rsidP="003753F8">
      <w:pPr>
        <w:pStyle w:val="Normalnumbered"/>
        <w:numPr>
          <w:ilvl w:val="0"/>
          <w:numId w:val="1"/>
        </w:numPr>
      </w:pPr>
      <w:r w:rsidRPr="00E172E9">
        <w:t xml:space="preserve">The Administrator will </w:t>
      </w:r>
      <w:r>
        <w:t xml:space="preserve">undertake annual Reconciliation for each State following the receipt of Required Data from all States. The Administrator will not </w:t>
      </w:r>
      <w:r w:rsidR="00EC222E">
        <w:t xml:space="preserve">finalise </w:t>
      </w:r>
      <w:r>
        <w:t>an annual Reconciliation for individual States that have provided the Required Data until all other States have provided Required Data.</w:t>
      </w:r>
    </w:p>
    <w:p w14:paraId="542E37AB" w14:textId="77777777" w:rsidR="003753F8" w:rsidRPr="003555DB" w:rsidRDefault="003753F8" w:rsidP="003753F8">
      <w:pPr>
        <w:pStyle w:val="Normalnumbered"/>
        <w:numPr>
          <w:ilvl w:val="0"/>
          <w:numId w:val="1"/>
        </w:numPr>
      </w:pPr>
      <w:r w:rsidRPr="003555DB">
        <w:lastRenderedPageBreak/>
        <w:t xml:space="preserve">In undertaking the annual Reconciliation the Administrator will calculate any </w:t>
      </w:r>
      <w:r w:rsidR="00D41F2B">
        <w:t xml:space="preserve">Sentinel Event or </w:t>
      </w:r>
      <w:r w:rsidRPr="003555DB">
        <w:t>Safety and Quality Adjustment that applies to a State in a relevant financial year</w:t>
      </w:r>
      <w:r w:rsidR="009725CF">
        <w:t>.</w:t>
      </w:r>
      <w:r w:rsidRPr="003555DB">
        <w:t xml:space="preserve"> </w:t>
      </w:r>
    </w:p>
    <w:p w14:paraId="542E37AC" w14:textId="77777777" w:rsidR="00B019AD" w:rsidRDefault="00B019AD" w:rsidP="00B019AD">
      <w:pPr>
        <w:pStyle w:val="Normalnumbered"/>
        <w:numPr>
          <w:ilvl w:val="0"/>
          <w:numId w:val="1"/>
        </w:numPr>
      </w:pPr>
      <w:r w:rsidRPr="00C36EDA">
        <w:t xml:space="preserve">Following the </w:t>
      </w:r>
      <w:r w:rsidR="003753F8">
        <w:t>completion of the annual R</w:t>
      </w:r>
      <w:r w:rsidR="003753F8" w:rsidRPr="00B019AD">
        <w:t>econciliation</w:t>
      </w:r>
      <w:r w:rsidRPr="00B019AD">
        <w:t xml:space="preserve">, the Administrator will calculate </w:t>
      </w:r>
      <w:r w:rsidR="003753F8">
        <w:t>the final</w:t>
      </w:r>
      <w:r w:rsidRPr="00B019AD">
        <w:t xml:space="preserve"> </w:t>
      </w:r>
      <w:r w:rsidR="002249C2">
        <w:t xml:space="preserve">Commonwealth </w:t>
      </w:r>
      <w:r w:rsidR="003753F8">
        <w:t>Funding</w:t>
      </w:r>
      <w:r w:rsidR="003753F8" w:rsidRPr="00B019AD">
        <w:t xml:space="preserve"> </w:t>
      </w:r>
      <w:r w:rsidR="003753F8">
        <w:t>E</w:t>
      </w:r>
      <w:r w:rsidR="003753F8" w:rsidRPr="00B019AD">
        <w:t xml:space="preserve">ntitlements </w:t>
      </w:r>
      <w:r w:rsidR="003753F8">
        <w:t xml:space="preserve">for a State for that year </w:t>
      </w:r>
      <w:r w:rsidRPr="00B019AD">
        <w:t>as follows:</w:t>
      </w:r>
    </w:p>
    <w:p w14:paraId="542E37AD" w14:textId="77777777" w:rsidR="00B019AD" w:rsidRPr="000C05F5" w:rsidRDefault="00B019AD" w:rsidP="002249C2">
      <w:pPr>
        <w:pStyle w:val="Normalnumbered"/>
        <w:numPr>
          <w:ilvl w:val="0"/>
          <w:numId w:val="21"/>
        </w:numPr>
      </w:pPr>
      <w:r w:rsidRPr="00171B81">
        <w:rPr>
          <w:color w:val="000000" w:themeColor="text1"/>
        </w:rPr>
        <w:t xml:space="preserve">Where a </w:t>
      </w:r>
      <w:r w:rsidR="002249C2">
        <w:rPr>
          <w:color w:val="000000" w:themeColor="text1"/>
        </w:rPr>
        <w:t>State</w:t>
      </w:r>
      <w:r w:rsidR="002249C2" w:rsidRPr="00171B81">
        <w:rPr>
          <w:color w:val="000000" w:themeColor="text1"/>
        </w:rPr>
        <w:t xml:space="preserve"> </w:t>
      </w:r>
      <w:r w:rsidRPr="00171B81">
        <w:rPr>
          <w:color w:val="000000" w:themeColor="text1"/>
        </w:rPr>
        <w:t xml:space="preserve">has an </w:t>
      </w:r>
      <w:r w:rsidR="003753F8">
        <w:rPr>
          <w:color w:val="000000" w:themeColor="text1"/>
        </w:rPr>
        <w:t>U</w:t>
      </w:r>
      <w:r w:rsidRPr="00171B81">
        <w:rPr>
          <w:color w:val="000000" w:themeColor="text1"/>
        </w:rPr>
        <w:t xml:space="preserve">ncapped </w:t>
      </w:r>
      <w:r w:rsidR="002249C2">
        <w:rPr>
          <w:color w:val="000000" w:themeColor="text1"/>
        </w:rPr>
        <w:t xml:space="preserve">Commonwealth </w:t>
      </w:r>
      <w:r w:rsidR="003753F8">
        <w:rPr>
          <w:color w:val="000000" w:themeColor="text1"/>
        </w:rPr>
        <w:t>Funding</w:t>
      </w:r>
      <w:r w:rsidR="003753F8" w:rsidRPr="00171B81">
        <w:rPr>
          <w:color w:val="000000" w:themeColor="text1"/>
        </w:rPr>
        <w:t xml:space="preserve"> </w:t>
      </w:r>
      <w:r w:rsidR="003753F8">
        <w:rPr>
          <w:color w:val="000000" w:themeColor="text1"/>
        </w:rPr>
        <w:t>E</w:t>
      </w:r>
      <w:r w:rsidR="003753F8" w:rsidRPr="00171B81">
        <w:rPr>
          <w:color w:val="000000" w:themeColor="text1"/>
        </w:rPr>
        <w:t xml:space="preserve">ntitlement </w:t>
      </w:r>
      <w:r w:rsidRPr="00171B81">
        <w:rPr>
          <w:color w:val="000000" w:themeColor="text1"/>
        </w:rPr>
        <w:t xml:space="preserve">less than or equal to the </w:t>
      </w:r>
      <w:r w:rsidR="008A7404">
        <w:rPr>
          <w:color w:val="000000" w:themeColor="text1"/>
        </w:rPr>
        <w:t>Soft</w:t>
      </w:r>
      <w:r w:rsidR="003753F8">
        <w:rPr>
          <w:color w:val="000000" w:themeColor="text1"/>
        </w:rPr>
        <w:t xml:space="preserve"> Cap</w:t>
      </w:r>
      <w:r w:rsidRPr="00171B81">
        <w:rPr>
          <w:color w:val="000000" w:themeColor="text1"/>
        </w:rPr>
        <w:t xml:space="preserve">, then the </w:t>
      </w:r>
      <w:r w:rsidR="00EC222E">
        <w:rPr>
          <w:color w:val="000000" w:themeColor="text1"/>
        </w:rPr>
        <w:t xml:space="preserve">State’s </w:t>
      </w:r>
      <w:r w:rsidR="003753F8">
        <w:rPr>
          <w:color w:val="000000" w:themeColor="text1"/>
        </w:rPr>
        <w:t>Commonwealth Funding Entitlement will equal its U</w:t>
      </w:r>
      <w:r w:rsidRPr="00171B81">
        <w:rPr>
          <w:color w:val="000000" w:themeColor="text1"/>
        </w:rPr>
        <w:t xml:space="preserve">ncapped </w:t>
      </w:r>
      <w:r w:rsidR="002249C2">
        <w:rPr>
          <w:color w:val="000000" w:themeColor="text1"/>
        </w:rPr>
        <w:t xml:space="preserve">Commonwealth </w:t>
      </w:r>
      <w:r w:rsidR="003753F8">
        <w:rPr>
          <w:color w:val="000000" w:themeColor="text1"/>
        </w:rPr>
        <w:t>Funding</w:t>
      </w:r>
      <w:r w:rsidR="003753F8" w:rsidRPr="00171B81">
        <w:rPr>
          <w:color w:val="000000" w:themeColor="text1"/>
        </w:rPr>
        <w:t xml:space="preserve"> </w:t>
      </w:r>
      <w:r w:rsidR="003753F8">
        <w:rPr>
          <w:color w:val="000000" w:themeColor="text1"/>
        </w:rPr>
        <w:t>E</w:t>
      </w:r>
      <w:r w:rsidR="003753F8" w:rsidRPr="00171B81">
        <w:rPr>
          <w:color w:val="000000" w:themeColor="text1"/>
        </w:rPr>
        <w:t>ntitlement</w:t>
      </w:r>
      <w:r w:rsidR="001116B9">
        <w:rPr>
          <w:color w:val="000000" w:themeColor="text1"/>
        </w:rPr>
        <w:t>.</w:t>
      </w:r>
    </w:p>
    <w:p w14:paraId="542E37AE" w14:textId="77777777" w:rsidR="002249C2" w:rsidRPr="00180DF6" w:rsidRDefault="002249C2" w:rsidP="002249C2">
      <w:pPr>
        <w:pStyle w:val="Normalnumbered"/>
        <w:numPr>
          <w:ilvl w:val="0"/>
          <w:numId w:val="21"/>
        </w:numPr>
      </w:pPr>
      <w:r w:rsidRPr="002249C2">
        <w:t xml:space="preserve">Where a State has an </w:t>
      </w:r>
      <w:r w:rsidR="003753F8">
        <w:t>U</w:t>
      </w:r>
      <w:r w:rsidRPr="002249C2">
        <w:t xml:space="preserve">ncapped Commonwealth </w:t>
      </w:r>
      <w:r w:rsidR="003753F8">
        <w:t>F</w:t>
      </w:r>
      <w:r w:rsidR="003753F8" w:rsidRPr="002249C2">
        <w:t xml:space="preserve">unding </w:t>
      </w:r>
      <w:r w:rsidR="003753F8">
        <w:t>E</w:t>
      </w:r>
      <w:r w:rsidR="003753F8" w:rsidRPr="002249C2">
        <w:t xml:space="preserve">ntitlement </w:t>
      </w:r>
      <w:r w:rsidRPr="002249C2">
        <w:t xml:space="preserve">that is more than </w:t>
      </w:r>
      <w:r w:rsidR="00EC222E">
        <w:t>its</w:t>
      </w:r>
      <w:r w:rsidR="00EC222E" w:rsidRPr="002249C2">
        <w:t xml:space="preserve"> </w:t>
      </w:r>
      <w:r w:rsidR="008A7404">
        <w:t>Soft</w:t>
      </w:r>
      <w:r w:rsidR="003753F8">
        <w:t xml:space="preserve"> Cap</w:t>
      </w:r>
      <w:r w:rsidRPr="002249C2">
        <w:t xml:space="preserve"> and the sum of all of the States </w:t>
      </w:r>
      <w:r w:rsidR="003753F8">
        <w:t>U</w:t>
      </w:r>
      <w:r w:rsidRPr="002249C2">
        <w:t xml:space="preserve">ncapped Commonwealth </w:t>
      </w:r>
      <w:r w:rsidR="003753F8">
        <w:t>F</w:t>
      </w:r>
      <w:r w:rsidR="003753F8" w:rsidRPr="002249C2">
        <w:t xml:space="preserve">unding </w:t>
      </w:r>
      <w:r w:rsidR="003753F8">
        <w:t>E</w:t>
      </w:r>
      <w:r w:rsidR="003753F8" w:rsidRPr="002249C2">
        <w:t xml:space="preserve">ntitlements </w:t>
      </w:r>
      <w:r w:rsidRPr="002249C2">
        <w:t xml:space="preserve">is less than or equal to the </w:t>
      </w:r>
      <w:r w:rsidR="003753F8">
        <w:t xml:space="preserve">National </w:t>
      </w:r>
      <w:r w:rsidRPr="002249C2">
        <w:t xml:space="preserve">Funding Cap, then the </w:t>
      </w:r>
      <w:r w:rsidR="00EC222E">
        <w:t xml:space="preserve">State’s </w:t>
      </w:r>
      <w:r w:rsidR="005A095F">
        <w:t xml:space="preserve">Commonwealth Funding Entitlement </w:t>
      </w:r>
      <w:r w:rsidRPr="002249C2">
        <w:t xml:space="preserve">will </w:t>
      </w:r>
      <w:r w:rsidR="005A095F">
        <w:t>equal its U</w:t>
      </w:r>
      <w:r w:rsidRPr="002249C2">
        <w:t xml:space="preserve">ncapped Commonwealth </w:t>
      </w:r>
      <w:r w:rsidR="005A095F">
        <w:t>F</w:t>
      </w:r>
      <w:r w:rsidR="005A095F" w:rsidRPr="002249C2">
        <w:t xml:space="preserve">unding </w:t>
      </w:r>
      <w:r w:rsidR="005A095F">
        <w:t>E</w:t>
      </w:r>
      <w:r w:rsidR="005A095F" w:rsidRPr="002249C2">
        <w:t>ntitlement</w:t>
      </w:r>
      <w:r w:rsidR="001116B9">
        <w:t>.</w:t>
      </w:r>
    </w:p>
    <w:p w14:paraId="542E37AF" w14:textId="77777777" w:rsidR="00177CD6" w:rsidRDefault="00B019AD" w:rsidP="002249C2">
      <w:pPr>
        <w:pStyle w:val="Normalnumbered"/>
        <w:numPr>
          <w:ilvl w:val="0"/>
          <w:numId w:val="21"/>
        </w:numPr>
      </w:pPr>
      <w:r w:rsidRPr="00171B81">
        <w:rPr>
          <w:color w:val="000000" w:themeColor="text1"/>
        </w:rPr>
        <w:t xml:space="preserve">Where a </w:t>
      </w:r>
      <w:r w:rsidR="002249C2">
        <w:rPr>
          <w:color w:val="000000" w:themeColor="text1"/>
        </w:rPr>
        <w:t>State</w:t>
      </w:r>
      <w:r w:rsidR="002249C2" w:rsidRPr="00171B81">
        <w:rPr>
          <w:color w:val="000000" w:themeColor="text1"/>
        </w:rPr>
        <w:t xml:space="preserve"> </w:t>
      </w:r>
      <w:r w:rsidRPr="00171B81">
        <w:rPr>
          <w:color w:val="000000" w:themeColor="text1"/>
        </w:rPr>
        <w:t xml:space="preserve">has an </w:t>
      </w:r>
      <w:r w:rsidR="005A095F">
        <w:rPr>
          <w:color w:val="000000" w:themeColor="text1"/>
        </w:rPr>
        <w:t>U</w:t>
      </w:r>
      <w:r w:rsidRPr="00171B81">
        <w:rPr>
          <w:color w:val="000000" w:themeColor="text1"/>
        </w:rPr>
        <w:t xml:space="preserve">ncapped </w:t>
      </w:r>
      <w:r w:rsidR="002249C2">
        <w:rPr>
          <w:color w:val="000000" w:themeColor="text1"/>
        </w:rPr>
        <w:t xml:space="preserve">Commonwealth </w:t>
      </w:r>
      <w:r w:rsidR="005A095F">
        <w:rPr>
          <w:color w:val="000000" w:themeColor="text1"/>
        </w:rPr>
        <w:t>Funding</w:t>
      </w:r>
      <w:r w:rsidR="005A095F" w:rsidRPr="00171B81">
        <w:rPr>
          <w:color w:val="000000" w:themeColor="text1"/>
        </w:rPr>
        <w:t xml:space="preserve"> </w:t>
      </w:r>
      <w:r w:rsidR="005A095F">
        <w:rPr>
          <w:color w:val="000000" w:themeColor="text1"/>
        </w:rPr>
        <w:t>E</w:t>
      </w:r>
      <w:r w:rsidR="005A095F" w:rsidRPr="00171B81">
        <w:rPr>
          <w:color w:val="000000" w:themeColor="text1"/>
        </w:rPr>
        <w:t xml:space="preserve">ntitlement </w:t>
      </w:r>
      <w:r w:rsidRPr="00171B81">
        <w:rPr>
          <w:color w:val="000000" w:themeColor="text1"/>
        </w:rPr>
        <w:t xml:space="preserve">that is more than </w:t>
      </w:r>
      <w:r w:rsidR="00EC222E">
        <w:rPr>
          <w:color w:val="000000" w:themeColor="text1"/>
        </w:rPr>
        <w:t>it’s</w:t>
      </w:r>
      <w:r w:rsidR="00EC222E" w:rsidRPr="00171B81">
        <w:rPr>
          <w:color w:val="000000" w:themeColor="text1"/>
        </w:rPr>
        <w:t xml:space="preserve"> </w:t>
      </w:r>
      <w:r w:rsidR="008A7404">
        <w:rPr>
          <w:color w:val="000000" w:themeColor="text1"/>
        </w:rPr>
        <w:t>Soft</w:t>
      </w:r>
      <w:r w:rsidR="005A095F">
        <w:rPr>
          <w:color w:val="000000" w:themeColor="text1"/>
        </w:rPr>
        <w:t xml:space="preserve"> C</w:t>
      </w:r>
      <w:r w:rsidRPr="00171B81">
        <w:rPr>
          <w:color w:val="000000" w:themeColor="text1"/>
        </w:rPr>
        <w:t xml:space="preserve">ap, </w:t>
      </w:r>
      <w:r w:rsidR="005A095F" w:rsidRPr="002249C2">
        <w:t xml:space="preserve">and the sum of all of the States </w:t>
      </w:r>
      <w:r w:rsidR="005A095F">
        <w:t>U</w:t>
      </w:r>
      <w:r w:rsidR="005A095F" w:rsidRPr="002249C2">
        <w:t xml:space="preserve">ncapped Commonwealth </w:t>
      </w:r>
      <w:r w:rsidR="005A095F">
        <w:t>F</w:t>
      </w:r>
      <w:r w:rsidR="005A095F" w:rsidRPr="002249C2">
        <w:t xml:space="preserve">unding </w:t>
      </w:r>
      <w:r w:rsidR="005A095F">
        <w:t>E</w:t>
      </w:r>
      <w:r w:rsidR="005A095F" w:rsidRPr="002249C2">
        <w:t xml:space="preserve">ntitlements is </w:t>
      </w:r>
      <w:r w:rsidR="005A095F">
        <w:t>more</w:t>
      </w:r>
      <w:r w:rsidR="005A095F" w:rsidRPr="002249C2">
        <w:t xml:space="preserve"> than the </w:t>
      </w:r>
      <w:r w:rsidR="005A095F">
        <w:t xml:space="preserve">National </w:t>
      </w:r>
      <w:r w:rsidR="005A095F" w:rsidRPr="002249C2">
        <w:t xml:space="preserve">Funding Cap, </w:t>
      </w:r>
      <w:r w:rsidRPr="00171B81">
        <w:rPr>
          <w:color w:val="000000" w:themeColor="text1"/>
        </w:rPr>
        <w:t xml:space="preserve">then the </w:t>
      </w:r>
      <w:r w:rsidR="00EC222E">
        <w:rPr>
          <w:color w:val="000000" w:themeColor="text1"/>
        </w:rPr>
        <w:t xml:space="preserve">State’s </w:t>
      </w:r>
      <w:r w:rsidR="005A095F">
        <w:rPr>
          <w:color w:val="000000" w:themeColor="text1"/>
        </w:rPr>
        <w:t>Commonwealth Funding E</w:t>
      </w:r>
      <w:r w:rsidRPr="00171B81">
        <w:rPr>
          <w:color w:val="000000" w:themeColor="text1"/>
        </w:rPr>
        <w:t>ntitlement is</w:t>
      </w:r>
      <w:r w:rsidR="002249C2">
        <w:rPr>
          <w:color w:val="000000" w:themeColor="text1"/>
        </w:rPr>
        <w:t> </w:t>
      </w:r>
      <w:r w:rsidR="00EC222E">
        <w:rPr>
          <w:color w:val="000000" w:themeColor="text1"/>
        </w:rPr>
        <w:t xml:space="preserve">its </w:t>
      </w:r>
      <w:r w:rsidR="008A7404">
        <w:rPr>
          <w:color w:val="000000" w:themeColor="text1"/>
        </w:rPr>
        <w:t>Soft</w:t>
      </w:r>
      <w:r w:rsidRPr="00171B81">
        <w:rPr>
          <w:color w:val="000000" w:themeColor="text1"/>
        </w:rPr>
        <w:t xml:space="preserve"> </w:t>
      </w:r>
      <w:r w:rsidR="005A095F">
        <w:rPr>
          <w:color w:val="000000" w:themeColor="text1"/>
        </w:rPr>
        <w:t>C</w:t>
      </w:r>
      <w:r w:rsidR="005A095F" w:rsidRPr="00171B81">
        <w:rPr>
          <w:color w:val="000000" w:themeColor="text1"/>
        </w:rPr>
        <w:t>ap</w:t>
      </w:r>
      <w:r>
        <w:rPr>
          <w:color w:val="000000" w:themeColor="text1"/>
        </w:rPr>
        <w:t>, plus</w:t>
      </w:r>
      <w:r w:rsidDel="00FD3D2F">
        <w:t xml:space="preserve"> </w:t>
      </w:r>
      <w:r w:rsidR="005A095F">
        <w:t>a</w:t>
      </w:r>
      <w:r>
        <w:t xml:space="preserve"> </w:t>
      </w:r>
      <w:r w:rsidR="005A095F">
        <w:t xml:space="preserve">Redistribution Amount, </w:t>
      </w:r>
      <w:r>
        <w:t>calculated by the following formula:</w:t>
      </w:r>
    </w:p>
    <w:tbl>
      <w:tblPr>
        <w:tblW w:w="7664" w:type="dxa"/>
        <w:tblInd w:w="1242" w:type="dxa"/>
        <w:tblLayout w:type="fixed"/>
        <w:tblLook w:val="04A0" w:firstRow="1" w:lastRow="0" w:firstColumn="1" w:lastColumn="0" w:noHBand="0" w:noVBand="1"/>
      </w:tblPr>
      <w:tblGrid>
        <w:gridCol w:w="2127"/>
        <w:gridCol w:w="425"/>
        <w:gridCol w:w="4876"/>
        <w:gridCol w:w="236"/>
      </w:tblGrid>
      <w:tr w:rsidR="002162EA" w:rsidRPr="008215E9" w14:paraId="542E37B4" w14:textId="77777777" w:rsidTr="0043142C">
        <w:trPr>
          <w:cantSplit/>
        </w:trPr>
        <w:tc>
          <w:tcPr>
            <w:tcW w:w="2127" w:type="dxa"/>
            <w:vMerge w:val="restart"/>
            <w:tcBorders>
              <w:top w:val="single" w:sz="4" w:space="0" w:color="auto"/>
              <w:left w:val="single" w:sz="4" w:space="0" w:color="auto"/>
              <w:right w:val="nil"/>
            </w:tcBorders>
          </w:tcPr>
          <w:p w14:paraId="542E37B0" w14:textId="77777777" w:rsidR="002162EA" w:rsidRPr="008215E9" w:rsidRDefault="002162EA" w:rsidP="0043142C">
            <w:pPr>
              <w:pStyle w:val="Normalnumbered"/>
              <w:spacing w:after="0" w:line="240" w:lineRule="auto"/>
              <w:jc w:val="center"/>
              <w:rPr>
                <w:sz w:val="22"/>
                <w:lang w:eastAsia="en-US"/>
              </w:rPr>
            </w:pPr>
            <w:r>
              <w:rPr>
                <w:sz w:val="22"/>
                <w:lang w:eastAsia="en-US"/>
              </w:rPr>
              <w:t>National funding available for redistribution</w:t>
            </w:r>
          </w:p>
        </w:tc>
        <w:tc>
          <w:tcPr>
            <w:tcW w:w="425" w:type="dxa"/>
            <w:vMerge w:val="restart"/>
            <w:tcBorders>
              <w:top w:val="single" w:sz="4" w:space="0" w:color="auto"/>
              <w:left w:val="nil"/>
              <w:right w:val="nil"/>
            </w:tcBorders>
            <w:vAlign w:val="center"/>
          </w:tcPr>
          <w:p w14:paraId="542E37B1" w14:textId="77777777" w:rsidR="002162EA" w:rsidRPr="008215E9" w:rsidRDefault="002162EA" w:rsidP="0043142C">
            <w:pPr>
              <w:pStyle w:val="Normalnumbered"/>
              <w:spacing w:after="0" w:line="240" w:lineRule="auto"/>
              <w:jc w:val="center"/>
              <w:rPr>
                <w:sz w:val="22"/>
                <w:lang w:eastAsia="en-US"/>
              </w:rPr>
            </w:pPr>
            <w:r w:rsidRPr="008215E9">
              <w:rPr>
                <w:sz w:val="22"/>
                <w:lang w:eastAsia="en-US"/>
              </w:rPr>
              <w:t>X</w:t>
            </w:r>
          </w:p>
        </w:tc>
        <w:tc>
          <w:tcPr>
            <w:tcW w:w="4876" w:type="dxa"/>
            <w:tcBorders>
              <w:top w:val="single" w:sz="4" w:space="0" w:color="auto"/>
              <w:left w:val="nil"/>
              <w:bottom w:val="single" w:sz="4" w:space="0" w:color="auto"/>
              <w:right w:val="nil"/>
            </w:tcBorders>
          </w:tcPr>
          <w:p w14:paraId="542E37B2" w14:textId="77777777" w:rsidR="002162EA" w:rsidRPr="008215E9" w:rsidRDefault="002162EA" w:rsidP="0043142C">
            <w:pPr>
              <w:pStyle w:val="Normalnumbered"/>
              <w:spacing w:after="0" w:line="240" w:lineRule="auto"/>
              <w:jc w:val="center"/>
              <w:rPr>
                <w:sz w:val="22"/>
                <w:lang w:eastAsia="en-US"/>
              </w:rPr>
            </w:pPr>
            <w:r w:rsidRPr="00EC222E">
              <w:rPr>
                <w:sz w:val="22"/>
                <w:lang w:eastAsia="en-US"/>
              </w:rPr>
              <w:t>Individual State’s funding shortfall</w:t>
            </w:r>
          </w:p>
        </w:tc>
        <w:tc>
          <w:tcPr>
            <w:tcW w:w="236" w:type="dxa"/>
            <w:tcBorders>
              <w:top w:val="single" w:sz="4" w:space="0" w:color="auto"/>
              <w:left w:val="nil"/>
              <w:right w:val="single" w:sz="4" w:space="0" w:color="auto"/>
            </w:tcBorders>
          </w:tcPr>
          <w:p w14:paraId="542E37B3" w14:textId="77777777" w:rsidR="002162EA" w:rsidRPr="008215E9" w:rsidRDefault="002162EA" w:rsidP="0043142C">
            <w:pPr>
              <w:pStyle w:val="Normalnumbered"/>
              <w:spacing w:after="0" w:line="240" w:lineRule="auto"/>
              <w:jc w:val="center"/>
              <w:rPr>
                <w:sz w:val="22"/>
                <w:lang w:eastAsia="en-US"/>
              </w:rPr>
            </w:pPr>
          </w:p>
        </w:tc>
      </w:tr>
      <w:tr w:rsidR="002162EA" w:rsidRPr="008215E9" w14:paraId="542E37B9" w14:textId="77777777" w:rsidTr="0043142C">
        <w:trPr>
          <w:cantSplit/>
        </w:trPr>
        <w:tc>
          <w:tcPr>
            <w:tcW w:w="2127" w:type="dxa"/>
            <w:vMerge/>
            <w:tcBorders>
              <w:left w:val="single" w:sz="4" w:space="0" w:color="auto"/>
              <w:right w:val="nil"/>
            </w:tcBorders>
            <w:vAlign w:val="center"/>
          </w:tcPr>
          <w:p w14:paraId="542E37B5" w14:textId="77777777" w:rsidR="002162EA" w:rsidRPr="008215E9" w:rsidRDefault="002162EA" w:rsidP="0043142C">
            <w:pPr>
              <w:rPr>
                <w:rFonts w:ascii="Calibri" w:hAnsi="Calibri"/>
                <w:szCs w:val="24"/>
              </w:rPr>
            </w:pPr>
          </w:p>
        </w:tc>
        <w:tc>
          <w:tcPr>
            <w:tcW w:w="425" w:type="dxa"/>
            <w:vMerge/>
            <w:tcBorders>
              <w:left w:val="nil"/>
              <w:right w:val="nil"/>
            </w:tcBorders>
            <w:vAlign w:val="center"/>
          </w:tcPr>
          <w:p w14:paraId="542E37B6" w14:textId="77777777" w:rsidR="002162EA" w:rsidRPr="008215E9" w:rsidRDefault="002162EA" w:rsidP="0043142C">
            <w:pPr>
              <w:rPr>
                <w:rFonts w:ascii="Calibri" w:hAnsi="Calibri"/>
                <w:szCs w:val="24"/>
              </w:rPr>
            </w:pPr>
          </w:p>
        </w:tc>
        <w:tc>
          <w:tcPr>
            <w:tcW w:w="4876" w:type="dxa"/>
            <w:tcBorders>
              <w:top w:val="single" w:sz="4" w:space="0" w:color="auto"/>
              <w:left w:val="nil"/>
              <w:right w:val="nil"/>
            </w:tcBorders>
          </w:tcPr>
          <w:p w14:paraId="542E37B7" w14:textId="77777777" w:rsidR="002162EA" w:rsidRPr="008215E9" w:rsidRDefault="002162EA" w:rsidP="0043142C">
            <w:pPr>
              <w:pStyle w:val="Normalnumbered"/>
              <w:spacing w:after="0" w:line="240" w:lineRule="auto"/>
              <w:jc w:val="center"/>
              <w:rPr>
                <w:sz w:val="22"/>
                <w:lang w:eastAsia="en-US"/>
              </w:rPr>
            </w:pPr>
            <w:r>
              <w:rPr>
                <w:sz w:val="22"/>
                <w:lang w:eastAsia="en-US"/>
              </w:rPr>
              <w:t>National funding shortfall</w:t>
            </w:r>
          </w:p>
        </w:tc>
        <w:tc>
          <w:tcPr>
            <w:tcW w:w="236" w:type="dxa"/>
            <w:tcBorders>
              <w:left w:val="nil"/>
              <w:right w:val="single" w:sz="4" w:space="0" w:color="auto"/>
            </w:tcBorders>
          </w:tcPr>
          <w:p w14:paraId="542E37B8" w14:textId="77777777" w:rsidR="002162EA" w:rsidRDefault="002162EA" w:rsidP="0043142C">
            <w:pPr>
              <w:pStyle w:val="Normalnumbered"/>
              <w:spacing w:after="0" w:line="240" w:lineRule="auto"/>
              <w:jc w:val="center"/>
              <w:rPr>
                <w:sz w:val="22"/>
                <w:lang w:eastAsia="en-US"/>
              </w:rPr>
            </w:pPr>
          </w:p>
        </w:tc>
      </w:tr>
      <w:tr w:rsidR="002162EA" w:rsidRPr="008215E9" w14:paraId="542E37BE" w14:textId="77777777" w:rsidTr="00B913C6">
        <w:trPr>
          <w:cantSplit/>
        </w:trPr>
        <w:tc>
          <w:tcPr>
            <w:tcW w:w="2127" w:type="dxa"/>
            <w:tcBorders>
              <w:left w:val="single" w:sz="4" w:space="0" w:color="auto"/>
              <w:right w:val="nil"/>
            </w:tcBorders>
            <w:vAlign w:val="center"/>
          </w:tcPr>
          <w:p w14:paraId="542E37BA" w14:textId="77777777" w:rsidR="002162EA" w:rsidRPr="00293396" w:rsidRDefault="002162EA" w:rsidP="0043142C">
            <w:pPr>
              <w:rPr>
                <w:rFonts w:ascii="Calibri" w:hAnsi="Calibri"/>
                <w:sz w:val="8"/>
                <w:szCs w:val="8"/>
              </w:rPr>
            </w:pPr>
          </w:p>
        </w:tc>
        <w:tc>
          <w:tcPr>
            <w:tcW w:w="425" w:type="dxa"/>
            <w:tcBorders>
              <w:left w:val="nil"/>
              <w:right w:val="nil"/>
            </w:tcBorders>
            <w:vAlign w:val="center"/>
          </w:tcPr>
          <w:p w14:paraId="542E37BB" w14:textId="77777777" w:rsidR="002162EA" w:rsidRPr="00293396" w:rsidRDefault="002162EA" w:rsidP="0043142C">
            <w:pPr>
              <w:rPr>
                <w:rFonts w:ascii="Calibri" w:hAnsi="Calibri"/>
                <w:sz w:val="8"/>
                <w:szCs w:val="8"/>
              </w:rPr>
            </w:pPr>
          </w:p>
        </w:tc>
        <w:tc>
          <w:tcPr>
            <w:tcW w:w="4876" w:type="dxa"/>
            <w:tcBorders>
              <w:left w:val="nil"/>
              <w:right w:val="nil"/>
            </w:tcBorders>
          </w:tcPr>
          <w:p w14:paraId="542E37BC" w14:textId="77777777" w:rsidR="002162EA" w:rsidRPr="00293396" w:rsidRDefault="002162EA" w:rsidP="0043142C">
            <w:pPr>
              <w:pStyle w:val="Normalnumbered"/>
              <w:spacing w:after="0" w:line="240" w:lineRule="auto"/>
              <w:jc w:val="center"/>
              <w:rPr>
                <w:sz w:val="8"/>
                <w:szCs w:val="8"/>
                <w:lang w:eastAsia="en-US"/>
              </w:rPr>
            </w:pPr>
          </w:p>
        </w:tc>
        <w:tc>
          <w:tcPr>
            <w:tcW w:w="236" w:type="dxa"/>
            <w:tcBorders>
              <w:left w:val="nil"/>
              <w:right w:val="single" w:sz="4" w:space="0" w:color="auto"/>
            </w:tcBorders>
          </w:tcPr>
          <w:p w14:paraId="542E37BD" w14:textId="77777777" w:rsidR="002162EA" w:rsidRPr="00293396" w:rsidRDefault="002162EA" w:rsidP="0043142C">
            <w:pPr>
              <w:pStyle w:val="Normalnumbered"/>
              <w:spacing w:after="0" w:line="240" w:lineRule="auto"/>
              <w:jc w:val="center"/>
              <w:rPr>
                <w:sz w:val="8"/>
                <w:szCs w:val="8"/>
                <w:lang w:eastAsia="en-US"/>
              </w:rPr>
            </w:pPr>
          </w:p>
        </w:tc>
      </w:tr>
      <w:tr w:rsidR="002162EA" w:rsidRPr="008215E9" w14:paraId="542E37C4" w14:textId="77777777" w:rsidTr="00B913C6">
        <w:trPr>
          <w:cantSplit/>
        </w:trPr>
        <w:tc>
          <w:tcPr>
            <w:tcW w:w="7428" w:type="dxa"/>
            <w:gridSpan w:val="3"/>
            <w:tcBorders>
              <w:left w:val="single" w:sz="4" w:space="0" w:color="auto"/>
              <w:bottom w:val="single" w:sz="4" w:space="0" w:color="auto"/>
              <w:right w:val="nil"/>
            </w:tcBorders>
            <w:vAlign w:val="center"/>
          </w:tcPr>
          <w:p w14:paraId="542E37BF" w14:textId="77777777" w:rsidR="002162EA" w:rsidRDefault="002162EA" w:rsidP="002162EA">
            <w:pPr>
              <w:pStyle w:val="Normalnumbered"/>
            </w:pPr>
            <w:r>
              <w:t>Where:</w:t>
            </w:r>
          </w:p>
          <w:p w14:paraId="542E37C0" w14:textId="77777777" w:rsidR="002E424E" w:rsidRPr="00582CE5" w:rsidRDefault="002E424E" w:rsidP="002E424E">
            <w:pPr>
              <w:pStyle w:val="Normalnumbered"/>
              <w:numPr>
                <w:ilvl w:val="2"/>
                <w:numId w:val="19"/>
              </w:numPr>
              <w:ind w:left="885"/>
            </w:pPr>
            <w:r w:rsidRPr="00582CE5">
              <w:t xml:space="preserve">The ‘national funding available for redistribution’ is the sum of the difference of each State’s </w:t>
            </w:r>
            <w:r>
              <w:t>U</w:t>
            </w:r>
            <w:r w:rsidRPr="00582CE5">
              <w:t xml:space="preserve">ncapped Commonwealth </w:t>
            </w:r>
            <w:r>
              <w:t>F</w:t>
            </w:r>
            <w:r w:rsidRPr="00582CE5">
              <w:t xml:space="preserve">unding </w:t>
            </w:r>
            <w:r>
              <w:t>E</w:t>
            </w:r>
            <w:r w:rsidRPr="00582CE5">
              <w:t xml:space="preserve">ntitlement and the </w:t>
            </w:r>
            <w:r w:rsidR="008A7404">
              <w:t>S</w:t>
            </w:r>
            <w:r w:rsidRPr="00582CE5">
              <w:t xml:space="preserve">oft </w:t>
            </w:r>
            <w:r w:rsidR="003329F0">
              <w:t>C</w:t>
            </w:r>
            <w:r w:rsidR="003329F0" w:rsidRPr="00582CE5">
              <w:t xml:space="preserve">ap </w:t>
            </w:r>
            <w:r w:rsidRPr="00582CE5">
              <w:t xml:space="preserve">where the State’s </w:t>
            </w:r>
            <w:r>
              <w:t>U</w:t>
            </w:r>
            <w:r w:rsidRPr="00582CE5">
              <w:t xml:space="preserve">ncapped Commonwealth </w:t>
            </w:r>
            <w:r>
              <w:t>F</w:t>
            </w:r>
            <w:r w:rsidRPr="00582CE5">
              <w:t xml:space="preserve">unding </w:t>
            </w:r>
            <w:r>
              <w:t>E</w:t>
            </w:r>
            <w:r w:rsidRPr="00582CE5">
              <w:t xml:space="preserve">ntitlement’s is less than the Soft </w:t>
            </w:r>
            <w:r w:rsidR="003329F0">
              <w:t>C</w:t>
            </w:r>
            <w:r w:rsidR="003329F0" w:rsidRPr="00582CE5">
              <w:t>ap</w:t>
            </w:r>
            <w:r w:rsidRPr="00582CE5">
              <w:t xml:space="preserve">. </w:t>
            </w:r>
          </w:p>
          <w:p w14:paraId="542E37C1" w14:textId="77777777" w:rsidR="002162EA" w:rsidRDefault="002162EA" w:rsidP="0043142C">
            <w:pPr>
              <w:pStyle w:val="Normalnumbered"/>
              <w:numPr>
                <w:ilvl w:val="2"/>
                <w:numId w:val="19"/>
              </w:numPr>
              <w:ind w:left="885"/>
            </w:pPr>
            <w:r>
              <w:t xml:space="preserve">The ‘individual State’s funding shortfall’ is the </w:t>
            </w:r>
            <w:r w:rsidR="005A095F">
              <w:t>amount by which its</w:t>
            </w:r>
            <w:r>
              <w:t xml:space="preserve"> </w:t>
            </w:r>
            <w:r w:rsidR="005A095F">
              <w:t>U</w:t>
            </w:r>
            <w:r>
              <w:t xml:space="preserve">ncapped Commonwealth </w:t>
            </w:r>
            <w:r w:rsidR="005A095F">
              <w:t xml:space="preserve">Funding Entitlement exceeds </w:t>
            </w:r>
            <w:r>
              <w:t xml:space="preserve">the </w:t>
            </w:r>
            <w:r w:rsidR="008A7404">
              <w:t>Soft</w:t>
            </w:r>
            <w:r w:rsidR="005A095F">
              <w:t xml:space="preserve"> Cap</w:t>
            </w:r>
            <w:r>
              <w:t xml:space="preserve">. </w:t>
            </w:r>
          </w:p>
          <w:p w14:paraId="542E37C2" w14:textId="77777777" w:rsidR="002162EA" w:rsidRPr="0089212E" w:rsidRDefault="002162EA" w:rsidP="005A095F">
            <w:pPr>
              <w:pStyle w:val="Normalnumbered"/>
              <w:numPr>
                <w:ilvl w:val="2"/>
                <w:numId w:val="19"/>
              </w:numPr>
              <w:ind w:left="885"/>
              <w:rPr>
                <w:sz w:val="22"/>
                <w:lang w:eastAsia="en-US"/>
              </w:rPr>
            </w:pPr>
            <w:r>
              <w:t>The ‘national funding shortfall’ is the sum of all the ‘individual State’s funding shortfall’.</w:t>
            </w:r>
          </w:p>
        </w:tc>
        <w:tc>
          <w:tcPr>
            <w:tcW w:w="236" w:type="dxa"/>
            <w:tcBorders>
              <w:left w:val="nil"/>
              <w:bottom w:val="single" w:sz="4" w:space="0" w:color="auto"/>
              <w:right w:val="single" w:sz="4" w:space="0" w:color="auto"/>
            </w:tcBorders>
          </w:tcPr>
          <w:p w14:paraId="542E37C3" w14:textId="77777777" w:rsidR="002162EA" w:rsidRDefault="002162EA" w:rsidP="0043142C">
            <w:pPr>
              <w:pStyle w:val="Normalnumbered"/>
              <w:spacing w:after="0" w:line="240" w:lineRule="auto"/>
              <w:jc w:val="center"/>
              <w:rPr>
                <w:sz w:val="22"/>
                <w:lang w:eastAsia="en-US"/>
              </w:rPr>
            </w:pPr>
          </w:p>
        </w:tc>
      </w:tr>
    </w:tbl>
    <w:p w14:paraId="542E37C5" w14:textId="77777777" w:rsidR="00B019AD" w:rsidRPr="00FD71AC" w:rsidRDefault="00DF702A" w:rsidP="00B019AD">
      <w:pPr>
        <w:spacing w:after="120"/>
        <w:outlineLvl w:val="2"/>
        <w:rPr>
          <w:rFonts w:ascii="Corbel" w:hAnsi="Corbel"/>
          <w:i/>
          <w:color w:val="3D4B67"/>
          <w:szCs w:val="48"/>
          <w:lang w:eastAsia="ja-JP"/>
        </w:rPr>
      </w:pPr>
      <w:r>
        <w:rPr>
          <w:rFonts w:ascii="Corbel" w:hAnsi="Corbel"/>
          <w:i/>
          <w:color w:val="3D4B67"/>
          <w:szCs w:val="48"/>
          <w:lang w:eastAsia="ja-JP"/>
        </w:rPr>
        <w:t>Certainty of R</w:t>
      </w:r>
      <w:r w:rsidR="00B019AD" w:rsidRPr="00FD71AC">
        <w:rPr>
          <w:rFonts w:ascii="Corbel" w:hAnsi="Corbel"/>
          <w:i/>
          <w:color w:val="3D4B67"/>
          <w:szCs w:val="48"/>
          <w:lang w:eastAsia="ja-JP"/>
        </w:rPr>
        <w:t>econciliation</w:t>
      </w:r>
    </w:p>
    <w:p w14:paraId="542E37C6" w14:textId="77777777" w:rsidR="00293396" w:rsidRPr="00AA747F" w:rsidRDefault="002137CC" w:rsidP="004847E2">
      <w:pPr>
        <w:pStyle w:val="Normalnumbered"/>
        <w:numPr>
          <w:ilvl w:val="0"/>
          <w:numId w:val="1"/>
        </w:numPr>
        <w:rPr>
          <w:rStyle w:val="CommentReference"/>
          <w:sz w:val="24"/>
          <w:szCs w:val="24"/>
        </w:rPr>
      </w:pPr>
      <w:r>
        <w:t xml:space="preserve">The </w:t>
      </w:r>
      <w:r w:rsidR="0089212E" w:rsidRPr="0089212E">
        <w:t xml:space="preserve">Parties agree that </w:t>
      </w:r>
      <w:r w:rsidR="00596FBC">
        <w:t xml:space="preserve">the final Commonwealth </w:t>
      </w:r>
      <w:r w:rsidR="005732C8">
        <w:t>F</w:t>
      </w:r>
      <w:r w:rsidR="00596FBC">
        <w:t xml:space="preserve">unding Entitlement of a State will not be adjusted unless a </w:t>
      </w:r>
      <w:r w:rsidR="003329F0">
        <w:t xml:space="preserve">Party </w:t>
      </w:r>
      <w:r w:rsidR="00596FBC">
        <w:t xml:space="preserve">has notified the Administrator of an issue affecting its accuracy within </w:t>
      </w:r>
      <w:r w:rsidR="0089212E" w:rsidRPr="0089212E">
        <w:t xml:space="preserve">12 months </w:t>
      </w:r>
      <w:r w:rsidR="00596FBC">
        <w:t>of</w:t>
      </w:r>
      <w:r w:rsidR="00596FBC" w:rsidRPr="0089212E">
        <w:t xml:space="preserve"> </w:t>
      </w:r>
      <w:r w:rsidR="0089212E" w:rsidRPr="0089212E">
        <w:t>the end of the relevant financial year</w:t>
      </w:r>
      <w:r w:rsidR="004847E2">
        <w:t>.</w:t>
      </w:r>
      <w:r w:rsidR="004847E2" w:rsidRPr="004847E2">
        <w:t xml:space="preserve"> The Administrator will not make any further adjustments to funding relating to that financial year, unless it is to resolve an issue raised within that 12 month period</w:t>
      </w:r>
      <w:r w:rsidR="00D5299B">
        <w:t>.</w:t>
      </w:r>
      <w:r w:rsidR="004847E2" w:rsidDel="004847E2">
        <w:rPr>
          <w:rStyle w:val="CommentReference"/>
          <w:rFonts w:asciiTheme="minorHAnsi" w:hAnsiTheme="minorHAnsi"/>
          <w:lang w:eastAsia="en-US"/>
        </w:rPr>
        <w:t xml:space="preserve"> </w:t>
      </w:r>
    </w:p>
    <w:p w14:paraId="542E37C7" w14:textId="77777777" w:rsidR="00AA747F" w:rsidRDefault="003555DB" w:rsidP="00AA747F">
      <w:pPr>
        <w:pStyle w:val="Normalnumbered"/>
        <w:numPr>
          <w:ilvl w:val="1"/>
          <w:numId w:val="1"/>
        </w:numPr>
      </w:pPr>
      <w:r>
        <w:t>T</w:t>
      </w:r>
      <w:r w:rsidR="00AA747F" w:rsidRPr="00AA747F">
        <w:t xml:space="preserve">his does not restrict the Administrator’s ability to identify </w:t>
      </w:r>
      <w:r w:rsidR="00F11DF1">
        <w:t xml:space="preserve">issues including </w:t>
      </w:r>
      <w:r w:rsidR="00AA747F" w:rsidRPr="00AA747F">
        <w:t>inaccuracies or errors</w:t>
      </w:r>
      <w:r w:rsidR="001515D7">
        <w:t xml:space="preserve"> within </w:t>
      </w:r>
      <w:r w:rsidR="001515D7" w:rsidRPr="0089212E">
        <w:t xml:space="preserve">12 months </w:t>
      </w:r>
      <w:r w:rsidR="001515D7">
        <w:t>of</w:t>
      </w:r>
      <w:r w:rsidR="001515D7" w:rsidRPr="0089212E">
        <w:t xml:space="preserve"> the end of the relevant financial year</w:t>
      </w:r>
      <w:r w:rsidR="00F11DF1">
        <w:t>.</w:t>
      </w:r>
    </w:p>
    <w:p w14:paraId="542E37C8" w14:textId="77777777" w:rsidR="00F7112D" w:rsidRDefault="00F7112D" w:rsidP="00F7112D">
      <w:pPr>
        <w:pStyle w:val="Normalnumbered"/>
        <w:numPr>
          <w:ilvl w:val="0"/>
          <w:numId w:val="1"/>
        </w:numPr>
      </w:pPr>
      <w:r>
        <w:t xml:space="preserve">A notice for the </w:t>
      </w:r>
      <w:r w:rsidRPr="0057539D">
        <w:t xml:space="preserve">purpose of </w:t>
      </w:r>
      <w:r w:rsidR="00D13F13" w:rsidRPr="0057539D">
        <w:t xml:space="preserve">Clause </w:t>
      </w:r>
      <w:r w:rsidRPr="0057539D">
        <w:t>I</w:t>
      </w:r>
      <w:r w:rsidR="007E1E7B" w:rsidRPr="0057539D">
        <w:t>2</w:t>
      </w:r>
      <w:r w:rsidR="008C48BB" w:rsidRPr="0057539D">
        <w:t>8</w:t>
      </w:r>
      <w:r w:rsidRPr="0057539D">
        <w:t xml:space="preserve"> must be issued in writing by </w:t>
      </w:r>
      <w:r w:rsidR="00D13F13" w:rsidRPr="0057539D">
        <w:t>a senior officer</w:t>
      </w:r>
      <w:r w:rsidRPr="0057539D">
        <w:t xml:space="preserve"> of the relevant health department and provide</w:t>
      </w:r>
      <w:r>
        <w:t xml:space="preserve"> full particulars of the nature and extent </w:t>
      </w:r>
      <w:r>
        <w:lastRenderedPageBreak/>
        <w:t xml:space="preserve">of the issue and the likely impact on the State’s Commonwealth Funding Entitlement. </w:t>
      </w:r>
      <w:r w:rsidR="001F4FBD">
        <w:t xml:space="preserve">A Statement of </w:t>
      </w:r>
      <w:r w:rsidR="003329F0">
        <w:t xml:space="preserve">Assurance </w:t>
      </w:r>
      <w:r>
        <w:t xml:space="preserve">must accompany any further submission of data by a State to remedy an identified issue. </w:t>
      </w:r>
    </w:p>
    <w:p w14:paraId="542E37C9" w14:textId="77777777" w:rsidR="00F7112D" w:rsidRDefault="0089212E" w:rsidP="003078C3">
      <w:pPr>
        <w:pStyle w:val="Normalnumbered"/>
        <w:numPr>
          <w:ilvl w:val="0"/>
          <w:numId w:val="1"/>
        </w:numPr>
      </w:pPr>
      <w:r w:rsidRPr="0089212E">
        <w:t xml:space="preserve">If an issue is </w:t>
      </w:r>
      <w:r w:rsidR="00F11DF1">
        <w:t xml:space="preserve">identified or </w:t>
      </w:r>
      <w:r w:rsidRPr="0089212E">
        <w:t xml:space="preserve">raised with the Administrator, the Administrator will notify the Commonwealth and States of the issue and how the Administrator plans to resolve the issue.  </w:t>
      </w:r>
    </w:p>
    <w:p w14:paraId="542E37CA" w14:textId="77777777" w:rsidR="00F7112D" w:rsidRDefault="00F7112D" w:rsidP="00F7112D">
      <w:pPr>
        <w:pStyle w:val="Normalnumbered"/>
        <w:numPr>
          <w:ilvl w:val="0"/>
          <w:numId w:val="1"/>
        </w:numPr>
      </w:pPr>
      <w:r>
        <w:t xml:space="preserve">The Administrator will calculate the impact on the Commonwealth Funding Entitlement of each State, including any applicable Redistribution Amounts, following the assessment of the issue by the Administrator. </w:t>
      </w:r>
    </w:p>
    <w:p w14:paraId="542E37CB" w14:textId="77777777" w:rsidR="00AB67C6" w:rsidRDefault="00F7112D" w:rsidP="003078C3">
      <w:pPr>
        <w:pStyle w:val="Normalnumbered"/>
        <w:numPr>
          <w:ilvl w:val="0"/>
          <w:numId w:val="1"/>
        </w:numPr>
      </w:pPr>
      <w:r>
        <w:t xml:space="preserve">The Administrator will assess and advise whether adjustments to the Commonwealth Funding Entitlement of the States should be made. </w:t>
      </w:r>
      <w:r w:rsidR="0089212E" w:rsidRPr="0089212E">
        <w:t>Following resolution of the issue, the Administrator will notify the Commonwealth and States of the outcome.</w:t>
      </w:r>
    </w:p>
    <w:p w14:paraId="542E37CC" w14:textId="77777777" w:rsidR="00EE79AA" w:rsidRPr="00EE79AA" w:rsidRDefault="00EE79AA" w:rsidP="00EE79AA">
      <w:pPr>
        <w:spacing w:after="120"/>
        <w:outlineLvl w:val="2"/>
        <w:rPr>
          <w:rFonts w:ascii="Corbel" w:hAnsi="Corbel"/>
          <w:i/>
          <w:color w:val="3D4B67"/>
          <w:szCs w:val="48"/>
          <w:lang w:eastAsia="ja-JP"/>
        </w:rPr>
      </w:pPr>
      <w:r>
        <w:rPr>
          <w:rFonts w:ascii="Corbel" w:hAnsi="Corbel"/>
          <w:i/>
          <w:color w:val="3D4B67"/>
          <w:szCs w:val="48"/>
          <w:lang w:eastAsia="ja-JP"/>
        </w:rPr>
        <w:t>Disputes with the Administrator</w:t>
      </w:r>
    </w:p>
    <w:p w14:paraId="542E37CD" w14:textId="77777777" w:rsidR="00EE79AA" w:rsidRPr="00D13F13" w:rsidRDefault="00EE79AA" w:rsidP="00EE79AA">
      <w:pPr>
        <w:pStyle w:val="Normalnumbered"/>
        <w:numPr>
          <w:ilvl w:val="0"/>
          <w:numId w:val="1"/>
        </w:numPr>
        <w:rPr>
          <w:color w:val="000000" w:themeColor="text1"/>
        </w:rPr>
      </w:pPr>
      <w:r w:rsidRPr="00D13F13">
        <w:rPr>
          <w:color w:val="000000" w:themeColor="text1"/>
        </w:rPr>
        <w:t xml:space="preserve">The Parties agree that </w:t>
      </w:r>
      <w:r w:rsidR="00DF702A">
        <w:rPr>
          <w:color w:val="000000" w:themeColor="text1"/>
        </w:rPr>
        <w:t xml:space="preserve">in the event of a </w:t>
      </w:r>
      <w:r w:rsidRPr="00D13F13">
        <w:rPr>
          <w:color w:val="000000" w:themeColor="text1"/>
        </w:rPr>
        <w:t>dispute with the Administrator</w:t>
      </w:r>
      <w:r w:rsidR="00DF702A">
        <w:rPr>
          <w:color w:val="000000" w:themeColor="text1"/>
        </w:rPr>
        <w:t>:</w:t>
      </w:r>
    </w:p>
    <w:p w14:paraId="542E37CE" w14:textId="77777777" w:rsidR="00EE79AA" w:rsidRPr="00D13F13" w:rsidRDefault="00DF702A" w:rsidP="00EE79AA">
      <w:pPr>
        <w:pStyle w:val="Normalnumbered"/>
        <w:numPr>
          <w:ilvl w:val="1"/>
          <w:numId w:val="1"/>
        </w:numPr>
        <w:rPr>
          <w:color w:val="000000" w:themeColor="text1"/>
        </w:rPr>
      </w:pPr>
      <w:r>
        <w:rPr>
          <w:color w:val="000000" w:themeColor="text1"/>
        </w:rPr>
        <w:t>O</w:t>
      </w:r>
      <w:r w:rsidR="00EE79AA" w:rsidRPr="00D13F13">
        <w:rPr>
          <w:color w:val="000000" w:themeColor="text1"/>
        </w:rPr>
        <w:t>fficials will work with the Administrator to resolve the dispute in the first instance.</w:t>
      </w:r>
    </w:p>
    <w:p w14:paraId="542E37CF" w14:textId="77777777" w:rsidR="00EE79AA" w:rsidRPr="00D13F13" w:rsidRDefault="00EE79AA" w:rsidP="00EE79AA">
      <w:pPr>
        <w:pStyle w:val="Normalnumbered"/>
        <w:numPr>
          <w:ilvl w:val="1"/>
          <w:numId w:val="1"/>
        </w:numPr>
        <w:rPr>
          <w:color w:val="000000" w:themeColor="text1"/>
        </w:rPr>
      </w:pPr>
      <w:r w:rsidRPr="00D13F13">
        <w:rPr>
          <w:color w:val="000000" w:themeColor="text1"/>
        </w:rPr>
        <w:t xml:space="preserve">If the dispute cannot be resolved by officials and the Administrator, it may be escalated </w:t>
      </w:r>
      <w:r w:rsidR="00DF702A">
        <w:rPr>
          <w:color w:val="000000" w:themeColor="text1"/>
        </w:rPr>
        <w:t xml:space="preserve">in accordance with the process for dispute resolution for the </w:t>
      </w:r>
      <w:r w:rsidR="003329F0">
        <w:rPr>
          <w:color w:val="000000" w:themeColor="text1"/>
        </w:rPr>
        <w:t xml:space="preserve">Parties </w:t>
      </w:r>
      <w:r w:rsidR="00DF702A">
        <w:rPr>
          <w:color w:val="000000" w:themeColor="text1"/>
        </w:rPr>
        <w:t xml:space="preserve">outlined at </w:t>
      </w:r>
      <w:r w:rsidRPr="00D13F13">
        <w:rPr>
          <w:color w:val="000000" w:themeColor="text1"/>
        </w:rPr>
        <w:t xml:space="preserve">Clauses 22 and 23 of the Agreement. </w:t>
      </w:r>
    </w:p>
    <w:p w14:paraId="542E37D0" w14:textId="77777777" w:rsidR="00F7112D" w:rsidRPr="005B10F7" w:rsidRDefault="00F7112D" w:rsidP="00F7112D">
      <w:pPr>
        <w:spacing w:after="120"/>
        <w:outlineLvl w:val="2"/>
        <w:rPr>
          <w:rFonts w:ascii="Corbel" w:hAnsi="Corbel"/>
          <w:color w:val="3D4B67"/>
          <w:sz w:val="28"/>
          <w:szCs w:val="48"/>
          <w:lang w:eastAsia="ja-JP"/>
        </w:rPr>
      </w:pPr>
      <w:r w:rsidRPr="005B10F7">
        <w:rPr>
          <w:rFonts w:ascii="Corbel" w:hAnsi="Corbel"/>
          <w:color w:val="3D4B67"/>
          <w:sz w:val="28"/>
          <w:szCs w:val="48"/>
          <w:lang w:eastAsia="ja-JP"/>
        </w:rPr>
        <w:t>Data</w:t>
      </w:r>
      <w:r w:rsidR="001F4FBD" w:rsidRPr="005B10F7">
        <w:rPr>
          <w:rFonts w:ascii="Corbel" w:hAnsi="Corbel"/>
          <w:color w:val="3D4B67"/>
          <w:sz w:val="28"/>
          <w:szCs w:val="48"/>
          <w:lang w:eastAsia="ja-JP"/>
        </w:rPr>
        <w:t xml:space="preserve"> quality and</w:t>
      </w:r>
      <w:r w:rsidRPr="005B10F7">
        <w:rPr>
          <w:rFonts w:ascii="Corbel" w:hAnsi="Corbel"/>
          <w:color w:val="3D4B67"/>
          <w:sz w:val="28"/>
          <w:szCs w:val="48"/>
          <w:lang w:eastAsia="ja-JP"/>
        </w:rPr>
        <w:t xml:space="preserve"> integrity </w:t>
      </w:r>
    </w:p>
    <w:p w14:paraId="542E37D1" w14:textId="77777777" w:rsidR="002154B8" w:rsidRPr="005B10F7" w:rsidRDefault="001F4FBD" w:rsidP="007F66BB">
      <w:pPr>
        <w:pStyle w:val="Normalnumbered"/>
        <w:numPr>
          <w:ilvl w:val="0"/>
          <w:numId w:val="1"/>
        </w:numPr>
      </w:pPr>
      <w:r w:rsidRPr="005B10F7">
        <w:t>Consistent with Clause B95, jurisdictions will work together and with the national bodies to share and work towards best practice approaches to data quality and integrity.</w:t>
      </w:r>
    </w:p>
    <w:p w14:paraId="542E37D2" w14:textId="77777777" w:rsidR="00796595" w:rsidRPr="00F50904" w:rsidRDefault="00A94C9A" w:rsidP="00796595">
      <w:pPr>
        <w:spacing w:after="120"/>
        <w:outlineLvl w:val="2"/>
        <w:rPr>
          <w:rFonts w:ascii="Corbel" w:hAnsi="Corbel"/>
          <w:color w:val="3D4B67"/>
          <w:sz w:val="28"/>
          <w:szCs w:val="48"/>
          <w:lang w:eastAsia="ja-JP"/>
        </w:rPr>
      </w:pPr>
      <w:r>
        <w:rPr>
          <w:rFonts w:ascii="Corbel" w:hAnsi="Corbel"/>
          <w:color w:val="3D4B67"/>
          <w:sz w:val="28"/>
          <w:szCs w:val="48"/>
          <w:lang w:eastAsia="ja-JP"/>
        </w:rPr>
        <w:t>Data Conditional Payment</w:t>
      </w:r>
    </w:p>
    <w:p w14:paraId="542E37D3" w14:textId="77777777" w:rsidR="00B7089F" w:rsidRDefault="00F7112D" w:rsidP="00BC0210">
      <w:pPr>
        <w:pStyle w:val="Normalnumbered"/>
        <w:numPr>
          <w:ilvl w:val="0"/>
          <w:numId w:val="1"/>
        </w:numPr>
      </w:pPr>
      <w:r>
        <w:t xml:space="preserve">The </w:t>
      </w:r>
      <w:r w:rsidR="00B7089F">
        <w:t xml:space="preserve">Parties agree to incorporate a Data Conditional Payment (DCP) to encourage the prompt provision of </w:t>
      </w:r>
      <w:r>
        <w:t xml:space="preserve">the Required Data </w:t>
      </w:r>
      <w:r w:rsidR="00B7089F">
        <w:t xml:space="preserve">in order to facilitate timely </w:t>
      </w:r>
      <w:r w:rsidR="0006535F">
        <w:t>R</w:t>
      </w:r>
      <w:r w:rsidR="00B7089F">
        <w:t>econciliation</w:t>
      </w:r>
      <w:r>
        <w:t xml:space="preserve"> </w:t>
      </w:r>
      <w:r w:rsidRPr="0036113C">
        <w:t>and payment</w:t>
      </w:r>
      <w:r>
        <w:t xml:space="preserve"> of any Redistribution Amounts due to States. The </w:t>
      </w:r>
      <w:r w:rsidR="003078C3">
        <w:t>DCP</w:t>
      </w:r>
      <w:r>
        <w:t xml:space="preserve"> will be a variation to the timing of payments under Clause B46 of this Agreement</w:t>
      </w:r>
      <w:r w:rsidR="00B7089F">
        <w:t>.</w:t>
      </w:r>
    </w:p>
    <w:p w14:paraId="542E37D4" w14:textId="77777777" w:rsidR="00991F33" w:rsidRDefault="00991F33" w:rsidP="00991F33">
      <w:pPr>
        <w:pStyle w:val="Normalnumbered"/>
        <w:numPr>
          <w:ilvl w:val="0"/>
          <w:numId w:val="1"/>
        </w:numPr>
      </w:pPr>
      <w:r>
        <w:t xml:space="preserve">If a state has not provided the </w:t>
      </w:r>
      <w:r w:rsidR="00F7112D">
        <w:t xml:space="preserve">Required Data </w:t>
      </w:r>
      <w:r>
        <w:t xml:space="preserve">for annual </w:t>
      </w:r>
      <w:r w:rsidR="0006535F">
        <w:t>R</w:t>
      </w:r>
      <w:r>
        <w:t>econciliation</w:t>
      </w:r>
      <w:r w:rsidR="00DB6E78">
        <w:t xml:space="preserve"> within three months of the</w:t>
      </w:r>
      <w:r w:rsidR="00F7112D">
        <w:t xml:space="preserve"> end of the</w:t>
      </w:r>
      <w:r w:rsidR="00DB6E78">
        <w:t xml:space="preserve"> </w:t>
      </w:r>
      <w:r w:rsidR="0006535F">
        <w:t>R</w:t>
      </w:r>
      <w:r w:rsidR="00DB6E78">
        <w:t>econciliation period</w:t>
      </w:r>
      <w:r>
        <w:t xml:space="preserve"> the Administrator will</w:t>
      </w:r>
      <w:r w:rsidR="00F7112D">
        <w:t>,</w:t>
      </w:r>
      <w:r>
        <w:t xml:space="preserve"> </w:t>
      </w:r>
      <w:r w:rsidR="00F7112D">
        <w:t xml:space="preserve">in calculating the Commonwealth contribution to the National Health Funding Pool for that state, advise the Treasurer to </w:t>
      </w:r>
      <w:r>
        <w:t xml:space="preserve">defer </w:t>
      </w:r>
      <w:r w:rsidR="00F7112D">
        <w:t xml:space="preserve">payment of </w:t>
      </w:r>
      <w:r>
        <w:t>10</w:t>
      </w:r>
      <w:r w:rsidR="00E32647">
        <w:t> </w:t>
      </w:r>
      <w:r>
        <w:t>per</w:t>
      </w:r>
      <w:r w:rsidR="00E32647">
        <w:t> </w:t>
      </w:r>
      <w:r>
        <w:t xml:space="preserve">cent </w:t>
      </w:r>
      <w:r w:rsidR="00F7112D">
        <w:t xml:space="preserve">of the amount payable to the State in </w:t>
      </w:r>
      <w:r w:rsidR="00D13F13">
        <w:t>November</w:t>
      </w:r>
      <w:r w:rsidR="00F7112D">
        <w:t xml:space="preserve"> of the current year, until the Required Data is provided</w:t>
      </w:r>
      <w:r>
        <w:t>.</w:t>
      </w:r>
    </w:p>
    <w:p w14:paraId="542E37D5" w14:textId="77777777" w:rsidR="003337C6" w:rsidRPr="00D46058" w:rsidRDefault="00991F33" w:rsidP="003337C6">
      <w:pPr>
        <w:pStyle w:val="Normalnumbered"/>
        <w:numPr>
          <w:ilvl w:val="0"/>
          <w:numId w:val="1"/>
        </w:numPr>
      </w:pPr>
      <w:r>
        <w:t xml:space="preserve">If a state has not provided the </w:t>
      </w:r>
      <w:r w:rsidR="00F7112D">
        <w:t xml:space="preserve">Required Data </w:t>
      </w:r>
      <w:r>
        <w:t xml:space="preserve">for the annual </w:t>
      </w:r>
      <w:r w:rsidR="0006535F">
        <w:t>R</w:t>
      </w:r>
      <w:r>
        <w:t xml:space="preserve">econciliation within four months of the end of the </w:t>
      </w:r>
      <w:r w:rsidR="0006535F">
        <w:t>R</w:t>
      </w:r>
      <w:r>
        <w:t>econciliation period, the Administrator will</w:t>
      </w:r>
      <w:r w:rsidR="00F7112D">
        <w:t>, in calculating the Commonwealth contribution to the National Health Funding Pool for that state, advise the Treasurer to</w:t>
      </w:r>
      <w:r>
        <w:t xml:space="preserve"> defer a further 15</w:t>
      </w:r>
      <w:r w:rsidR="00E32647">
        <w:t> </w:t>
      </w:r>
      <w:r>
        <w:t>per</w:t>
      </w:r>
      <w:r w:rsidR="00E32647">
        <w:t> </w:t>
      </w:r>
      <w:r>
        <w:t>cent</w:t>
      </w:r>
      <w:r w:rsidR="00F7112D" w:rsidRPr="00F7112D">
        <w:t xml:space="preserve"> </w:t>
      </w:r>
      <w:r w:rsidR="00F7112D">
        <w:t xml:space="preserve">of the amount payable to the States in </w:t>
      </w:r>
      <w:r w:rsidR="00D13F13">
        <w:t>December</w:t>
      </w:r>
      <w:r w:rsidR="00F7112D">
        <w:t xml:space="preserve"> of the current year, until the Required Data is provided.</w:t>
      </w:r>
    </w:p>
    <w:p w14:paraId="542E37D6" w14:textId="77777777" w:rsidR="005628CF" w:rsidRPr="0057539D" w:rsidRDefault="00B7089F" w:rsidP="004578DF">
      <w:pPr>
        <w:pStyle w:val="Normalnumbered"/>
        <w:numPr>
          <w:ilvl w:val="0"/>
          <w:numId w:val="1"/>
        </w:numPr>
      </w:pPr>
      <w:r w:rsidRPr="00D46058">
        <w:t xml:space="preserve">If </w:t>
      </w:r>
      <w:r w:rsidR="00991F33" w:rsidRPr="00D46058">
        <w:t>a</w:t>
      </w:r>
      <w:r w:rsidR="005628CF">
        <w:t>n amount</w:t>
      </w:r>
      <w:r w:rsidR="00991F33" w:rsidRPr="00D46058">
        <w:t xml:space="preserve"> is deferred </w:t>
      </w:r>
      <w:r w:rsidR="004578DF" w:rsidRPr="0057539D">
        <w:t>under Clauses I</w:t>
      </w:r>
      <w:r w:rsidR="007E1E7B" w:rsidRPr="0057539D">
        <w:t>3</w:t>
      </w:r>
      <w:r w:rsidR="008C48BB" w:rsidRPr="0057539D">
        <w:t>6</w:t>
      </w:r>
      <w:r w:rsidR="004578DF" w:rsidRPr="0057539D">
        <w:t xml:space="preserve"> or I</w:t>
      </w:r>
      <w:r w:rsidR="007E1E7B" w:rsidRPr="0057539D">
        <w:t>3</w:t>
      </w:r>
      <w:r w:rsidR="008C48BB" w:rsidRPr="0057539D">
        <w:t>7</w:t>
      </w:r>
    </w:p>
    <w:p w14:paraId="542E37D7" w14:textId="77777777" w:rsidR="005628CF" w:rsidRDefault="00B7089F" w:rsidP="003078C3">
      <w:pPr>
        <w:pStyle w:val="Normalnumbered"/>
        <w:numPr>
          <w:ilvl w:val="1"/>
          <w:numId w:val="1"/>
        </w:numPr>
      </w:pPr>
      <w:r w:rsidRPr="00D46058">
        <w:t>the Administrator</w:t>
      </w:r>
      <w:r w:rsidRPr="00DA5549">
        <w:t xml:space="preserve"> will advise the affected State </w:t>
      </w:r>
      <w:r w:rsidR="005628CF">
        <w:t>of that fact; and</w:t>
      </w:r>
    </w:p>
    <w:p w14:paraId="542E37D8" w14:textId="77777777" w:rsidR="00930847" w:rsidRDefault="00930847" w:rsidP="00930847">
      <w:pPr>
        <w:pStyle w:val="Normalnumbered"/>
        <w:numPr>
          <w:ilvl w:val="1"/>
          <w:numId w:val="1"/>
        </w:numPr>
      </w:pPr>
      <w:r w:rsidRPr="00930847">
        <w:lastRenderedPageBreak/>
        <w:t xml:space="preserve">any funds deferred will be repaid in the next available monthly payment once </w:t>
      </w:r>
      <w:r w:rsidR="0006535F">
        <w:t>the Required Data</w:t>
      </w:r>
      <w:r w:rsidRPr="00930847">
        <w:t xml:space="preserve"> is provided.</w:t>
      </w:r>
    </w:p>
    <w:p w14:paraId="542E37D9" w14:textId="77777777" w:rsidR="005628CF" w:rsidRDefault="00B7089F" w:rsidP="00BC0210">
      <w:pPr>
        <w:pStyle w:val="Normalnumbered"/>
        <w:numPr>
          <w:ilvl w:val="0"/>
          <w:numId w:val="1"/>
        </w:numPr>
      </w:pPr>
      <w:r>
        <w:t xml:space="preserve">The Administrator will be responsible for </w:t>
      </w:r>
      <w:r w:rsidR="0088602F">
        <w:t xml:space="preserve">applying the DCP and providing advice to jurisdictions as to its operation.  </w:t>
      </w:r>
    </w:p>
    <w:p w14:paraId="542E37DA" w14:textId="77777777" w:rsidR="00457D15" w:rsidRPr="007602C7" w:rsidRDefault="00AA747F" w:rsidP="00457D15">
      <w:pPr>
        <w:spacing w:after="120"/>
        <w:outlineLvl w:val="2"/>
        <w:rPr>
          <w:rFonts w:ascii="Corbel" w:hAnsi="Corbel"/>
          <w:i/>
          <w:color w:val="3D4B67"/>
          <w:szCs w:val="48"/>
          <w:lang w:eastAsia="ja-JP"/>
        </w:rPr>
      </w:pPr>
      <w:r>
        <w:rPr>
          <w:rFonts w:ascii="Corbel" w:hAnsi="Corbel"/>
          <w:i/>
          <w:color w:val="3D4B67"/>
          <w:szCs w:val="48"/>
          <w:lang w:eastAsia="ja-JP"/>
        </w:rPr>
        <w:t xml:space="preserve">Statement of </w:t>
      </w:r>
      <w:r w:rsidR="0036305E">
        <w:rPr>
          <w:rFonts w:ascii="Corbel" w:hAnsi="Corbel"/>
          <w:i/>
          <w:color w:val="3D4B67"/>
          <w:szCs w:val="48"/>
          <w:lang w:eastAsia="ja-JP"/>
        </w:rPr>
        <w:t>Assurance</w:t>
      </w:r>
    </w:p>
    <w:p w14:paraId="542E37DB" w14:textId="77777777" w:rsidR="00457D15" w:rsidRDefault="00AA747F" w:rsidP="00457D15">
      <w:pPr>
        <w:pStyle w:val="Normalnumbered"/>
        <w:numPr>
          <w:ilvl w:val="0"/>
          <w:numId w:val="1"/>
        </w:numPr>
        <w:rPr>
          <w:rFonts w:asciiTheme="minorHAnsi" w:hAnsiTheme="minorHAnsi"/>
        </w:rPr>
      </w:pPr>
      <w:r>
        <w:rPr>
          <w:rFonts w:asciiTheme="minorHAnsi" w:hAnsiTheme="minorHAnsi"/>
        </w:rPr>
        <w:t xml:space="preserve">From 1 July 2017, </w:t>
      </w:r>
      <w:r w:rsidR="00457D15">
        <w:rPr>
          <w:rFonts w:asciiTheme="minorHAnsi" w:hAnsiTheme="minorHAnsi"/>
        </w:rPr>
        <w:t xml:space="preserve">States will provide </w:t>
      </w:r>
      <w:r>
        <w:rPr>
          <w:rFonts w:asciiTheme="minorHAnsi" w:hAnsiTheme="minorHAnsi"/>
        </w:rPr>
        <w:t xml:space="preserve">the IHPA with </w:t>
      </w:r>
      <w:r w:rsidR="001F4FBD">
        <w:rPr>
          <w:rFonts w:asciiTheme="minorHAnsi" w:hAnsiTheme="minorHAnsi"/>
        </w:rPr>
        <w:t xml:space="preserve">a </w:t>
      </w:r>
      <w:r w:rsidR="003329F0">
        <w:rPr>
          <w:rFonts w:asciiTheme="minorHAnsi" w:hAnsiTheme="minorHAnsi"/>
        </w:rPr>
        <w:t xml:space="preserve">Statement </w:t>
      </w:r>
      <w:r w:rsidR="001F4FBD">
        <w:rPr>
          <w:rFonts w:asciiTheme="minorHAnsi" w:hAnsiTheme="minorHAnsi"/>
        </w:rPr>
        <w:t xml:space="preserve">of </w:t>
      </w:r>
      <w:r w:rsidR="003329F0">
        <w:rPr>
          <w:rFonts w:asciiTheme="minorHAnsi" w:hAnsiTheme="minorHAnsi"/>
        </w:rPr>
        <w:t xml:space="preserve">Assurance </w:t>
      </w:r>
      <w:r w:rsidR="001F4FBD">
        <w:rPr>
          <w:rFonts w:asciiTheme="minorHAnsi" w:hAnsiTheme="minorHAnsi"/>
        </w:rPr>
        <w:t>from a senior health department official on</w:t>
      </w:r>
      <w:r w:rsidR="001F4FBD" w:rsidRPr="007935E6">
        <w:rPr>
          <w:rFonts w:asciiTheme="minorHAnsi" w:hAnsiTheme="minorHAnsi"/>
        </w:rPr>
        <w:t xml:space="preserve"> the comple</w:t>
      </w:r>
      <w:r w:rsidR="001F4FBD">
        <w:rPr>
          <w:rFonts w:asciiTheme="minorHAnsi" w:hAnsiTheme="minorHAnsi"/>
        </w:rPr>
        <w:t xml:space="preserve">teness and accuracy of approved </w:t>
      </w:r>
      <w:r w:rsidR="001F4FBD" w:rsidRPr="007935E6">
        <w:rPr>
          <w:rFonts w:asciiTheme="minorHAnsi" w:hAnsiTheme="minorHAnsi"/>
        </w:rPr>
        <w:t xml:space="preserve">data </w:t>
      </w:r>
      <w:r w:rsidR="001F4FBD">
        <w:rPr>
          <w:rFonts w:asciiTheme="minorHAnsi" w:hAnsiTheme="minorHAnsi"/>
        </w:rPr>
        <w:t>submissions provided</w:t>
      </w:r>
      <w:r w:rsidR="001F4FBD" w:rsidDel="001F4FBD">
        <w:rPr>
          <w:rFonts w:asciiTheme="minorHAnsi" w:hAnsiTheme="minorHAnsi"/>
        </w:rPr>
        <w:t xml:space="preserve"> </w:t>
      </w:r>
      <w:r w:rsidR="00457D15" w:rsidRPr="007935E6">
        <w:rPr>
          <w:rFonts w:asciiTheme="minorHAnsi" w:hAnsiTheme="minorHAnsi"/>
        </w:rPr>
        <w:t>under clauses B63, B</w:t>
      </w:r>
      <w:r w:rsidR="001F4FBD">
        <w:rPr>
          <w:rFonts w:asciiTheme="minorHAnsi" w:hAnsiTheme="minorHAnsi"/>
        </w:rPr>
        <w:t>95</w:t>
      </w:r>
      <w:r w:rsidR="00457D15" w:rsidRPr="007935E6">
        <w:rPr>
          <w:rFonts w:asciiTheme="minorHAnsi" w:hAnsiTheme="minorHAnsi"/>
        </w:rPr>
        <w:t xml:space="preserve"> and B</w:t>
      </w:r>
      <w:r w:rsidR="001F4FBD">
        <w:rPr>
          <w:rFonts w:asciiTheme="minorHAnsi" w:hAnsiTheme="minorHAnsi"/>
        </w:rPr>
        <w:t>97</w:t>
      </w:r>
      <w:r w:rsidR="00457D15" w:rsidRPr="007935E6">
        <w:rPr>
          <w:rFonts w:asciiTheme="minorHAnsi" w:hAnsiTheme="minorHAnsi"/>
        </w:rPr>
        <w:t xml:space="preserve"> of the Agreement. </w:t>
      </w:r>
    </w:p>
    <w:p w14:paraId="542E37DC" w14:textId="77777777" w:rsidR="003555DB" w:rsidRPr="00546697" w:rsidRDefault="003555DB" w:rsidP="001F4FBD">
      <w:pPr>
        <w:pStyle w:val="Normalnumbered"/>
        <w:numPr>
          <w:ilvl w:val="1"/>
          <w:numId w:val="1"/>
        </w:numPr>
        <w:rPr>
          <w:rFonts w:asciiTheme="minorHAnsi" w:hAnsiTheme="minorHAnsi"/>
          <w:color w:val="000000" w:themeColor="text1"/>
        </w:rPr>
      </w:pPr>
      <w:r>
        <w:rPr>
          <w:rFonts w:asciiTheme="minorHAnsi" w:hAnsiTheme="minorHAnsi"/>
          <w:color w:val="000000" w:themeColor="text1"/>
        </w:rPr>
        <w:t xml:space="preserve">Consistent with </w:t>
      </w:r>
      <w:r w:rsidRPr="00546697">
        <w:rPr>
          <w:rFonts w:asciiTheme="minorHAnsi" w:hAnsiTheme="minorHAnsi"/>
          <w:color w:val="000000" w:themeColor="text1"/>
        </w:rPr>
        <w:t xml:space="preserve">Clause B97, </w:t>
      </w:r>
      <w:r w:rsidR="006653F5" w:rsidRPr="00546697">
        <w:rPr>
          <w:rFonts w:asciiTheme="minorHAnsi" w:hAnsiTheme="minorHAnsi"/>
          <w:color w:val="000000" w:themeColor="text1"/>
        </w:rPr>
        <w:t xml:space="preserve">the IHPA will provide </w:t>
      </w:r>
      <w:r w:rsidRPr="00546697">
        <w:rPr>
          <w:rFonts w:asciiTheme="minorHAnsi" w:hAnsiTheme="minorHAnsi"/>
          <w:color w:val="000000" w:themeColor="text1"/>
        </w:rPr>
        <w:t>statements of assurance to the Administrator.</w:t>
      </w:r>
    </w:p>
    <w:p w14:paraId="542E37DD" w14:textId="77777777" w:rsidR="001F4FBD" w:rsidRPr="00546697" w:rsidRDefault="001F4FBD" w:rsidP="001F4FBD">
      <w:pPr>
        <w:pStyle w:val="Normalnumbered"/>
        <w:numPr>
          <w:ilvl w:val="1"/>
          <w:numId w:val="1"/>
        </w:numPr>
        <w:rPr>
          <w:rFonts w:asciiTheme="minorHAnsi" w:hAnsiTheme="minorHAnsi"/>
          <w:color w:val="000000" w:themeColor="text1"/>
        </w:rPr>
      </w:pPr>
      <w:r w:rsidRPr="00546697">
        <w:t xml:space="preserve">Jurisdictions will work with the national bodies to determine the manner and form of the </w:t>
      </w:r>
      <w:r w:rsidR="003329F0">
        <w:t>S</w:t>
      </w:r>
      <w:r w:rsidR="003329F0" w:rsidRPr="00546697">
        <w:t xml:space="preserve">tatement </w:t>
      </w:r>
      <w:r w:rsidRPr="00546697">
        <w:t xml:space="preserve">of </w:t>
      </w:r>
      <w:r w:rsidR="003329F0">
        <w:t>A</w:t>
      </w:r>
      <w:r w:rsidR="003329F0" w:rsidRPr="00546697">
        <w:t>ssurance</w:t>
      </w:r>
      <w:r w:rsidRPr="00546697">
        <w:t>, for approval by the Australian Health Ministers’ Advisory Council</w:t>
      </w:r>
      <w:r w:rsidR="005E0FA8">
        <w:t xml:space="preserve"> (AHMAC)</w:t>
      </w:r>
      <w:r w:rsidRPr="00546697">
        <w:t xml:space="preserve">. </w:t>
      </w:r>
    </w:p>
    <w:p w14:paraId="542E37DE" w14:textId="77777777" w:rsidR="001F4FBD" w:rsidRPr="00546697" w:rsidRDefault="001F4FBD" w:rsidP="001F4FBD">
      <w:pPr>
        <w:pStyle w:val="Normalnumbered"/>
        <w:numPr>
          <w:ilvl w:val="1"/>
          <w:numId w:val="1"/>
        </w:numPr>
      </w:pPr>
      <w:r w:rsidRPr="00546697">
        <w:t xml:space="preserve">The provision of the </w:t>
      </w:r>
      <w:r w:rsidR="003329F0">
        <w:t>S</w:t>
      </w:r>
      <w:r w:rsidR="003329F0" w:rsidRPr="00546697">
        <w:t xml:space="preserve">tatement </w:t>
      </w:r>
      <w:r w:rsidRPr="00546697">
        <w:t xml:space="preserve">of </w:t>
      </w:r>
      <w:r w:rsidR="003329F0">
        <w:t>A</w:t>
      </w:r>
      <w:r w:rsidR="003329F0" w:rsidRPr="00546697">
        <w:t xml:space="preserve">ssurance </w:t>
      </w:r>
      <w:r w:rsidRPr="00546697">
        <w:t xml:space="preserve">does not prevent a State from resubmitting </w:t>
      </w:r>
      <w:r w:rsidRPr="0057539D">
        <w:t>data to improve previous submissions, subject to the timing requirement in Clause I</w:t>
      </w:r>
      <w:r w:rsidR="00D159B3" w:rsidRPr="0057539D">
        <w:t>2</w:t>
      </w:r>
      <w:r w:rsidR="008C48BB" w:rsidRPr="0057539D">
        <w:t>8</w:t>
      </w:r>
      <w:r w:rsidRPr="0057539D">
        <w:t>. Each</w:t>
      </w:r>
      <w:r w:rsidRPr="00546697">
        <w:t xml:space="preserve"> approved submission or resubmission of data will be accompanied by a </w:t>
      </w:r>
      <w:r w:rsidR="003329F0">
        <w:t>S</w:t>
      </w:r>
      <w:r w:rsidR="003329F0" w:rsidRPr="00546697">
        <w:t xml:space="preserve">tatement </w:t>
      </w:r>
      <w:r w:rsidRPr="00546697">
        <w:t xml:space="preserve">of </w:t>
      </w:r>
      <w:r w:rsidR="003329F0">
        <w:t>A</w:t>
      </w:r>
      <w:r w:rsidR="003329F0" w:rsidRPr="00546697">
        <w:t>ssurance</w:t>
      </w:r>
      <w:r w:rsidRPr="00546697">
        <w:t xml:space="preserve">. </w:t>
      </w:r>
    </w:p>
    <w:p w14:paraId="542E37DF" w14:textId="77777777" w:rsidR="001F4FBD" w:rsidRPr="00546697" w:rsidRDefault="001F4FBD" w:rsidP="001F4FBD">
      <w:pPr>
        <w:pStyle w:val="Normalnumbered"/>
        <w:numPr>
          <w:ilvl w:val="0"/>
          <w:numId w:val="1"/>
        </w:numPr>
      </w:pPr>
      <w:r w:rsidRPr="00546697">
        <w:t xml:space="preserve">Data provided to the Administrator under clauses A6 and A8 </w:t>
      </w:r>
      <w:r w:rsidR="00A60AFD" w:rsidRPr="00546697">
        <w:t xml:space="preserve">by the Commonwealth </w:t>
      </w:r>
      <w:r w:rsidRPr="00546697">
        <w:t>will also require a statement of assurance on completeness and accuracy of data submitted by the relevant data custodian(s).</w:t>
      </w:r>
    </w:p>
    <w:p w14:paraId="542E37E0" w14:textId="77777777" w:rsidR="00457D15" w:rsidRPr="00B573F7" w:rsidRDefault="00457D15" w:rsidP="00457D15">
      <w:pPr>
        <w:spacing w:after="120"/>
        <w:outlineLvl w:val="2"/>
        <w:rPr>
          <w:rFonts w:ascii="Corbel" w:hAnsi="Corbel"/>
          <w:i/>
          <w:color w:val="3D4B67"/>
          <w:szCs w:val="48"/>
          <w:lang w:eastAsia="ja-JP"/>
        </w:rPr>
      </w:pPr>
      <w:r w:rsidRPr="00B573F7">
        <w:rPr>
          <w:rFonts w:ascii="Corbel" w:hAnsi="Corbel"/>
          <w:i/>
          <w:color w:val="3D4B67"/>
          <w:szCs w:val="48"/>
          <w:lang w:eastAsia="ja-JP"/>
        </w:rPr>
        <w:t>Reporting</w:t>
      </w:r>
    </w:p>
    <w:p w14:paraId="542E37E1" w14:textId="77777777" w:rsidR="00457D15" w:rsidRPr="006D1C4A" w:rsidRDefault="00457D15" w:rsidP="00457D15">
      <w:pPr>
        <w:pStyle w:val="Normalnumbered"/>
        <w:numPr>
          <w:ilvl w:val="0"/>
          <w:numId w:val="1"/>
        </w:numPr>
        <w:rPr>
          <w:rFonts w:asciiTheme="minorHAnsi" w:hAnsiTheme="minorHAnsi"/>
        </w:rPr>
      </w:pPr>
      <w:r w:rsidRPr="006D1C4A">
        <w:rPr>
          <w:rFonts w:asciiTheme="minorHAnsi" w:hAnsiTheme="minorHAnsi"/>
        </w:rPr>
        <w:t>Further to Clause B102 of the Agreement, in publishing information on compliance with data requirements, the Administrator will publish additional information including:</w:t>
      </w:r>
    </w:p>
    <w:p w14:paraId="542E37E2" w14:textId="77777777" w:rsidR="00457D15" w:rsidRPr="000470DF" w:rsidRDefault="00457D15" w:rsidP="00457D15">
      <w:pPr>
        <w:pStyle w:val="Normalnumbered"/>
        <w:numPr>
          <w:ilvl w:val="1"/>
          <w:numId w:val="31"/>
        </w:numPr>
        <w:rPr>
          <w:rFonts w:asciiTheme="minorHAnsi" w:hAnsiTheme="minorHAnsi"/>
        </w:rPr>
      </w:pPr>
      <w:r w:rsidRPr="000470DF">
        <w:rPr>
          <w:rFonts w:asciiTheme="minorHAnsi" w:hAnsiTheme="minorHAnsi"/>
        </w:rPr>
        <w:t>dates on which each State provided data under clauses B63, B73 and B74;</w:t>
      </w:r>
    </w:p>
    <w:p w14:paraId="542E37E3" w14:textId="77777777" w:rsidR="00457D15" w:rsidRPr="000470DF" w:rsidRDefault="00457D15" w:rsidP="00457D15">
      <w:pPr>
        <w:pStyle w:val="Normalnumbered"/>
        <w:numPr>
          <w:ilvl w:val="1"/>
          <w:numId w:val="31"/>
        </w:numPr>
        <w:rPr>
          <w:rFonts w:asciiTheme="minorHAnsi" w:hAnsiTheme="minorHAnsi"/>
        </w:rPr>
      </w:pPr>
      <w:r w:rsidRPr="000470DF">
        <w:rPr>
          <w:rFonts w:asciiTheme="minorHAnsi" w:hAnsiTheme="minorHAnsi"/>
        </w:rPr>
        <w:t>dates on which resubmissions of data were provided;</w:t>
      </w:r>
      <w:r>
        <w:rPr>
          <w:rFonts w:asciiTheme="minorHAnsi" w:hAnsiTheme="minorHAnsi"/>
        </w:rPr>
        <w:t xml:space="preserve"> and</w:t>
      </w:r>
    </w:p>
    <w:p w14:paraId="542E37E4" w14:textId="77777777" w:rsidR="00457D15" w:rsidRDefault="00457D15" w:rsidP="00457D15">
      <w:pPr>
        <w:pStyle w:val="Normalnumbered"/>
        <w:numPr>
          <w:ilvl w:val="1"/>
          <w:numId w:val="31"/>
        </w:numPr>
      </w:pPr>
      <w:r w:rsidRPr="000470DF">
        <w:rPr>
          <w:rFonts w:asciiTheme="minorHAnsi" w:hAnsiTheme="minorHAnsi"/>
        </w:rPr>
        <w:t>dates on which Reconciliation was completed</w:t>
      </w:r>
      <w:r>
        <w:rPr>
          <w:rFonts w:asciiTheme="minorHAnsi" w:hAnsiTheme="minorHAnsi"/>
        </w:rPr>
        <w:t>.</w:t>
      </w:r>
    </w:p>
    <w:p w14:paraId="542E37E5" w14:textId="77777777" w:rsidR="00796595" w:rsidRDefault="00796595" w:rsidP="00796595">
      <w:pPr>
        <w:spacing w:after="120"/>
        <w:outlineLvl w:val="2"/>
        <w:rPr>
          <w:rFonts w:ascii="Corbel" w:hAnsi="Corbel"/>
          <w:color w:val="3D4B67"/>
          <w:sz w:val="28"/>
          <w:szCs w:val="48"/>
          <w:lang w:eastAsia="ja-JP"/>
        </w:rPr>
      </w:pPr>
      <w:r w:rsidRPr="00E24857">
        <w:rPr>
          <w:rFonts w:ascii="Corbel" w:hAnsi="Corbel"/>
          <w:color w:val="3D4B67"/>
          <w:sz w:val="28"/>
          <w:szCs w:val="48"/>
          <w:lang w:eastAsia="ja-JP"/>
        </w:rPr>
        <w:t>Other arrangements</w:t>
      </w:r>
    </w:p>
    <w:p w14:paraId="542E37E6" w14:textId="77777777" w:rsidR="00796595" w:rsidRDefault="005628CF" w:rsidP="00796595">
      <w:pPr>
        <w:pStyle w:val="Normalnumbered"/>
        <w:numPr>
          <w:ilvl w:val="0"/>
          <w:numId w:val="1"/>
        </w:numPr>
      </w:pPr>
      <w:r>
        <w:t xml:space="preserve">The </w:t>
      </w:r>
      <w:r w:rsidR="00796595">
        <w:t xml:space="preserve">Parties agree </w:t>
      </w:r>
      <w:r>
        <w:t xml:space="preserve">that </w:t>
      </w:r>
      <w:r w:rsidR="00796595">
        <w:t>w</w:t>
      </w:r>
      <w:r w:rsidR="00796595" w:rsidRPr="00AD348D">
        <w:t xml:space="preserve">here a State may receive less funding under the arrangements outlined in this </w:t>
      </w:r>
      <w:r w:rsidR="00B805DB">
        <w:t>Part</w:t>
      </w:r>
      <w:r w:rsidR="00B805DB" w:rsidRPr="00AD348D">
        <w:t xml:space="preserve"> </w:t>
      </w:r>
      <w:r w:rsidR="00796595" w:rsidRPr="00AD348D">
        <w:t xml:space="preserve">than </w:t>
      </w:r>
      <w:r w:rsidR="00991F33">
        <w:t>it</w:t>
      </w:r>
      <w:r w:rsidR="00991F33" w:rsidRPr="00AD348D">
        <w:t xml:space="preserve"> </w:t>
      </w:r>
      <w:r w:rsidR="00796595" w:rsidRPr="00AD348D">
        <w:t xml:space="preserve">would have received under block </w:t>
      </w:r>
      <w:r>
        <w:t>grant</w:t>
      </w:r>
      <w:r w:rsidRPr="00AD348D">
        <w:t xml:space="preserve"> </w:t>
      </w:r>
      <w:r w:rsidR="00796595" w:rsidRPr="00AD348D">
        <w:t xml:space="preserve">arrangements outlined in the 2014-15 </w:t>
      </w:r>
      <w:r w:rsidR="00796595">
        <w:t xml:space="preserve">Commonwealth </w:t>
      </w:r>
      <w:r w:rsidR="00796595" w:rsidRPr="00AD348D">
        <w:t>Budget, the Commonwealth will work with any affected jurisdiction to consider whether there is a case to provide additional funding to that jurisdiction for that year.</w:t>
      </w:r>
    </w:p>
    <w:p w14:paraId="542E37E7" w14:textId="77777777" w:rsidR="00796595" w:rsidRDefault="00796595" w:rsidP="008748DC">
      <w:pPr>
        <w:pStyle w:val="Normalnumbered"/>
        <w:numPr>
          <w:ilvl w:val="1"/>
          <w:numId w:val="1"/>
        </w:numPr>
      </w:pPr>
      <w:r>
        <w:t xml:space="preserve">Any additional payments </w:t>
      </w:r>
      <w:r w:rsidRPr="00D46058">
        <w:t xml:space="preserve">provided under </w:t>
      </w:r>
      <w:r w:rsidRPr="0057539D">
        <w:t xml:space="preserve">Clause </w:t>
      </w:r>
      <w:r w:rsidR="000816EA" w:rsidRPr="0057539D">
        <w:t>I</w:t>
      </w:r>
      <w:r w:rsidR="00DF0977" w:rsidRPr="0057539D">
        <w:t>4</w:t>
      </w:r>
      <w:r w:rsidR="008C48BB" w:rsidRPr="0057539D">
        <w:t>3</w:t>
      </w:r>
      <w:r w:rsidR="000816EA" w:rsidRPr="0057539D">
        <w:t xml:space="preserve"> </w:t>
      </w:r>
      <w:r w:rsidRPr="0057539D">
        <w:t>should</w:t>
      </w:r>
      <w:r>
        <w:t xml:space="preserve"> not be considered as ‘other funding streams’ for the purpose of Clause B63 of this Agreement.</w:t>
      </w:r>
    </w:p>
    <w:p w14:paraId="542E37E8" w14:textId="77777777" w:rsidR="00803E31" w:rsidRDefault="00803E31" w:rsidP="008748DC">
      <w:pPr>
        <w:pStyle w:val="Normalnumbered"/>
        <w:numPr>
          <w:ilvl w:val="1"/>
          <w:numId w:val="1"/>
        </w:numPr>
      </w:pPr>
      <w:r>
        <w:t xml:space="preserve">Any additional </w:t>
      </w:r>
      <w:r w:rsidR="005628CF">
        <w:t xml:space="preserve">funding </w:t>
      </w:r>
      <w:r>
        <w:t>provi</w:t>
      </w:r>
      <w:r w:rsidR="00F712A1">
        <w:t>ded u</w:t>
      </w:r>
      <w:r w:rsidR="00F712A1" w:rsidRPr="00D46058">
        <w:t>nder Cla</w:t>
      </w:r>
      <w:r w:rsidR="00F712A1" w:rsidRPr="0057539D">
        <w:t>use I</w:t>
      </w:r>
      <w:r w:rsidR="00D159B3" w:rsidRPr="0057539D">
        <w:t>4</w:t>
      </w:r>
      <w:r w:rsidR="008C48BB" w:rsidRPr="0057539D">
        <w:t>3</w:t>
      </w:r>
      <w:r w:rsidR="00F712A1" w:rsidRPr="0057539D">
        <w:t xml:space="preserve"> will be </w:t>
      </w:r>
      <w:r w:rsidR="005628CF" w:rsidRPr="0057539D">
        <w:t xml:space="preserve">paid </w:t>
      </w:r>
      <w:r w:rsidR="00F712A1" w:rsidRPr="0057539D">
        <w:t>outside</w:t>
      </w:r>
      <w:r w:rsidR="005628CF" w:rsidRPr="0057539D">
        <w:t xml:space="preserve"> of</w:t>
      </w:r>
      <w:r w:rsidR="00F712A1" w:rsidRPr="0057539D">
        <w:t xml:space="preserve"> the National Health Funding Pool and </w:t>
      </w:r>
      <w:r w:rsidR="005628CF" w:rsidRPr="0057539D">
        <w:t xml:space="preserve">will </w:t>
      </w:r>
      <w:r w:rsidR="00F712A1" w:rsidRPr="0057539D">
        <w:t>not</w:t>
      </w:r>
      <w:r w:rsidR="005628CF" w:rsidRPr="0057539D">
        <w:t xml:space="preserve"> be</w:t>
      </w:r>
      <w:r w:rsidR="00F712A1" w:rsidRPr="0057539D">
        <w:t xml:space="preserve"> </w:t>
      </w:r>
      <w:r w:rsidR="005628CF" w:rsidRPr="0057539D">
        <w:t>considered</w:t>
      </w:r>
      <w:r w:rsidR="005628CF" w:rsidRPr="00D46058">
        <w:t xml:space="preserve"> </w:t>
      </w:r>
      <w:r w:rsidR="00F712A1" w:rsidRPr="00D46058">
        <w:t xml:space="preserve">in </w:t>
      </w:r>
      <w:r w:rsidR="005628CF">
        <w:t xml:space="preserve">the </w:t>
      </w:r>
      <w:r w:rsidR="005628CF" w:rsidRPr="00D46058">
        <w:t>determin</w:t>
      </w:r>
      <w:r w:rsidR="005628CF">
        <w:t>ation of Commonwealth Funding Entitlements for a State or the application of</w:t>
      </w:r>
      <w:r w:rsidR="005628CF" w:rsidRPr="00D46058">
        <w:t xml:space="preserve"> </w:t>
      </w:r>
      <w:r w:rsidR="00F712A1" w:rsidRPr="00D46058">
        <w:t xml:space="preserve">the </w:t>
      </w:r>
      <w:r w:rsidR="005628CF">
        <w:t>N</w:t>
      </w:r>
      <w:r w:rsidR="005628CF" w:rsidRPr="00D46058">
        <w:t xml:space="preserve">ational </w:t>
      </w:r>
      <w:r w:rsidR="005628CF">
        <w:t>Funding C</w:t>
      </w:r>
      <w:r w:rsidR="005628CF" w:rsidRPr="00D46058">
        <w:t xml:space="preserve">ap </w:t>
      </w:r>
      <w:r w:rsidR="005628CF">
        <w:t xml:space="preserve">or </w:t>
      </w:r>
      <w:r w:rsidR="008A7404">
        <w:t>Soft</w:t>
      </w:r>
      <w:r w:rsidR="005628CF">
        <w:t xml:space="preserve"> Cap</w:t>
      </w:r>
      <w:r w:rsidR="00F712A1" w:rsidRPr="00D46058">
        <w:t>.</w:t>
      </w:r>
      <w:r w:rsidR="00F712A1">
        <w:t xml:space="preserve"> </w:t>
      </w:r>
    </w:p>
    <w:p w14:paraId="542E37E9" w14:textId="77777777" w:rsidR="00796595" w:rsidRPr="003B15CF" w:rsidRDefault="00796595" w:rsidP="00796595">
      <w:pPr>
        <w:pStyle w:val="Normalnumbered"/>
        <w:numPr>
          <w:ilvl w:val="0"/>
          <w:numId w:val="1"/>
        </w:numPr>
      </w:pPr>
      <w:r>
        <w:lastRenderedPageBreak/>
        <w:t>States agree to</w:t>
      </w:r>
      <w:r w:rsidR="005A5714">
        <w:t>, at a minimum</w:t>
      </w:r>
      <w:r w:rsidR="00474DCB">
        <w:t xml:space="preserve"> for the period of 2017-18 to 2019-20</w:t>
      </w:r>
      <w:r w:rsidR="005A5714">
        <w:t xml:space="preserve">, </w:t>
      </w:r>
      <w:r w:rsidR="005A5714" w:rsidRPr="003B15CF">
        <w:t xml:space="preserve">maintain </w:t>
      </w:r>
      <w:r w:rsidR="00D25729">
        <w:t>2015</w:t>
      </w:r>
      <w:r w:rsidR="00D25729">
        <w:noBreakHyphen/>
        <w:t xml:space="preserve">16 levels of </w:t>
      </w:r>
      <w:r w:rsidRPr="003B15CF">
        <w:t xml:space="preserve">funding for </w:t>
      </w:r>
      <w:r w:rsidR="005628CF">
        <w:t>P</w:t>
      </w:r>
      <w:r w:rsidR="005628CF" w:rsidRPr="003B15CF">
        <w:t xml:space="preserve">ublic </w:t>
      </w:r>
      <w:r w:rsidR="005628CF">
        <w:t>H</w:t>
      </w:r>
      <w:r w:rsidR="005628CF" w:rsidRPr="003B15CF">
        <w:t xml:space="preserve">ospital </w:t>
      </w:r>
      <w:r w:rsidR="005628CF">
        <w:t>S</w:t>
      </w:r>
      <w:r w:rsidR="005628CF" w:rsidRPr="003B15CF">
        <w:t>ervices</w:t>
      </w:r>
      <w:r w:rsidR="00803E31">
        <w:t>, while having regard to new, appropriate models of care that may change the setting in which care is delivered</w:t>
      </w:r>
      <w:r w:rsidRPr="003B15CF">
        <w:t xml:space="preserve">. </w:t>
      </w:r>
    </w:p>
    <w:p w14:paraId="542E37EA" w14:textId="77777777" w:rsidR="00796595" w:rsidRPr="003B15CF" w:rsidRDefault="00796595" w:rsidP="00796595">
      <w:pPr>
        <w:pStyle w:val="Normalnumbered"/>
        <w:numPr>
          <w:ilvl w:val="0"/>
          <w:numId w:val="1"/>
        </w:numPr>
      </w:pPr>
      <w:r w:rsidRPr="00E4670B">
        <w:t>Parties acknowledge that the Australian Capital Territory</w:t>
      </w:r>
      <w:r w:rsidR="00991F33" w:rsidRPr="00E4670B">
        <w:t>,</w:t>
      </w:r>
      <w:r w:rsidRPr="00E4670B">
        <w:t xml:space="preserve"> Tasmania</w:t>
      </w:r>
      <w:r w:rsidR="00991F33" w:rsidRPr="00E4670B">
        <w:t xml:space="preserve"> and the Northern Territory</w:t>
      </w:r>
      <w:r w:rsidRPr="00E4670B">
        <w:t xml:space="preserve"> have separate bilateral arrangements with the Commonwealth regarding public hospital funding. These bilateral arrangements operate separately to this </w:t>
      </w:r>
      <w:r w:rsidR="00DB6E78" w:rsidRPr="00D7191A">
        <w:t>Agreement</w:t>
      </w:r>
      <w:r w:rsidR="0004567B" w:rsidRPr="008D487C">
        <w:t xml:space="preserve"> and will not affect the Commonwealth funding of other </w:t>
      </w:r>
      <w:r w:rsidR="0089212E">
        <w:t xml:space="preserve">States </w:t>
      </w:r>
      <w:r w:rsidR="00293396">
        <w:t>under this Agreement</w:t>
      </w:r>
      <w:r w:rsidR="0004567B" w:rsidRPr="003B15CF">
        <w:t>.</w:t>
      </w:r>
    </w:p>
    <w:p w14:paraId="542E37EB" w14:textId="77777777" w:rsidR="00796595" w:rsidRPr="008207FF" w:rsidRDefault="00796595" w:rsidP="008207FF">
      <w:pPr>
        <w:pStyle w:val="Heading2"/>
      </w:pPr>
      <w:r w:rsidRPr="008207FF">
        <w:t>Reforms to decrease avoidable demand for public hospital services</w:t>
      </w:r>
    </w:p>
    <w:p w14:paraId="542E37EC" w14:textId="77777777" w:rsidR="00796595" w:rsidRDefault="00796595" w:rsidP="00796595">
      <w:pPr>
        <w:pStyle w:val="Normalnumbered"/>
        <w:numPr>
          <w:ilvl w:val="0"/>
          <w:numId w:val="1"/>
        </w:numPr>
      </w:pPr>
      <w:r>
        <w:t xml:space="preserve">All </w:t>
      </w:r>
      <w:r w:rsidR="00784DA7">
        <w:t xml:space="preserve">Parties </w:t>
      </w:r>
      <w:r>
        <w:t xml:space="preserve">commit to implement reforms to improve outcomes for patients and decrease potentially avoidable demand for </w:t>
      </w:r>
      <w:r w:rsidR="00784DA7">
        <w:t>P</w:t>
      </w:r>
      <w:r w:rsidR="00784DA7" w:rsidRPr="003B15CF">
        <w:t xml:space="preserve">ublic </w:t>
      </w:r>
      <w:r w:rsidR="00784DA7">
        <w:t>H</w:t>
      </w:r>
      <w:r w:rsidR="00784DA7" w:rsidRPr="003B15CF">
        <w:t xml:space="preserve">ospital </w:t>
      </w:r>
      <w:r w:rsidR="00784DA7">
        <w:t>S</w:t>
      </w:r>
      <w:r w:rsidR="00784DA7" w:rsidRPr="003B15CF">
        <w:t>ervices</w:t>
      </w:r>
      <w:r>
        <w:t>. This</w:t>
      </w:r>
      <w:r w:rsidRPr="009204F1">
        <w:t xml:space="preserve"> </w:t>
      </w:r>
      <w:r w:rsidR="00B805DB">
        <w:t>Part</w:t>
      </w:r>
      <w:r w:rsidR="00B805DB" w:rsidRPr="009204F1">
        <w:t xml:space="preserve"> </w:t>
      </w:r>
      <w:r w:rsidRPr="009204F1">
        <w:t>does not preclude pursuing other reforms to improve health outcomes and the efficiency of public hospitals in the future.</w:t>
      </w:r>
    </w:p>
    <w:p w14:paraId="542E37ED" w14:textId="77777777" w:rsidR="00B7461D" w:rsidRDefault="00796595" w:rsidP="00796595">
      <w:pPr>
        <w:spacing w:after="120"/>
        <w:outlineLvl w:val="2"/>
        <w:rPr>
          <w:rFonts w:ascii="Corbel" w:hAnsi="Corbel"/>
          <w:color w:val="3D4B67"/>
          <w:sz w:val="28"/>
          <w:szCs w:val="48"/>
          <w:lang w:eastAsia="ja-JP"/>
        </w:rPr>
      </w:pPr>
      <w:r>
        <w:rPr>
          <w:rFonts w:ascii="Corbel" w:hAnsi="Corbel"/>
          <w:color w:val="3D4B67"/>
          <w:sz w:val="28"/>
          <w:szCs w:val="48"/>
          <w:lang w:eastAsia="ja-JP"/>
        </w:rPr>
        <w:t>C</w:t>
      </w:r>
      <w:r w:rsidRPr="009204F1">
        <w:rPr>
          <w:rFonts w:ascii="Corbel" w:hAnsi="Corbel"/>
          <w:color w:val="3D4B67"/>
          <w:sz w:val="28"/>
          <w:szCs w:val="48"/>
          <w:lang w:eastAsia="ja-JP"/>
        </w:rPr>
        <w:t>oordinated care for patients with chronic and complex disease</w:t>
      </w:r>
    </w:p>
    <w:p w14:paraId="542E37EE" w14:textId="77777777" w:rsidR="00B7461D" w:rsidRPr="009502B1" w:rsidRDefault="00B7461D" w:rsidP="009502B1">
      <w:pPr>
        <w:pStyle w:val="Normalnumbered"/>
        <w:numPr>
          <w:ilvl w:val="0"/>
          <w:numId w:val="1"/>
        </w:numPr>
      </w:pPr>
      <w:r w:rsidRPr="009502B1">
        <w:t xml:space="preserve">The Parties acknowledge that Australia’s health system is high performing but that patients with chronic and complex conditions can experience the system as fragmented and difficult to navigate. </w:t>
      </w:r>
    </w:p>
    <w:p w14:paraId="542E37EF" w14:textId="77777777" w:rsidR="00B7461D" w:rsidRPr="009502B1" w:rsidRDefault="00B7461D" w:rsidP="009502B1">
      <w:pPr>
        <w:pStyle w:val="Normalnumbered"/>
        <w:numPr>
          <w:ilvl w:val="0"/>
          <w:numId w:val="1"/>
        </w:numPr>
      </w:pPr>
      <w:r w:rsidRPr="009502B1">
        <w:t xml:space="preserve">The Parties will develop a range of coordinated care reforms to complement existing national and local measures to deliver better care for patients with chronic and complex conditions and reduce avoidable demand for health services. </w:t>
      </w:r>
    </w:p>
    <w:p w14:paraId="542E37F0" w14:textId="77777777" w:rsidR="00B7461D" w:rsidRPr="009502B1" w:rsidRDefault="00B7461D" w:rsidP="009502B1">
      <w:pPr>
        <w:pStyle w:val="Normalnumbered"/>
        <w:numPr>
          <w:ilvl w:val="0"/>
          <w:numId w:val="1"/>
        </w:numPr>
      </w:pPr>
      <w:r w:rsidRPr="009502B1">
        <w:t xml:space="preserve">These reforms will be implemented from 1 July 2017, with progress reported to COAG through the COAG Health Council in early 2019, to inform further consideration of a joint national approach to enhanced coordinated care for people with chronic and complex conditions. </w:t>
      </w:r>
    </w:p>
    <w:p w14:paraId="542E37F1" w14:textId="77777777" w:rsidR="00B7461D" w:rsidRPr="009502B1" w:rsidRDefault="00B7461D" w:rsidP="009502B1">
      <w:pPr>
        <w:pStyle w:val="Normalnumbered"/>
        <w:numPr>
          <w:ilvl w:val="0"/>
          <w:numId w:val="1"/>
        </w:numPr>
      </w:pPr>
      <w:r w:rsidRPr="009502B1">
        <w:t xml:space="preserve">These coordinated care activities will complement reforms articulated within this </w:t>
      </w:r>
      <w:r w:rsidR="003329F0">
        <w:t>Schedule</w:t>
      </w:r>
      <w:r w:rsidR="003329F0" w:rsidRPr="009502B1">
        <w:t xml:space="preserve"> </w:t>
      </w:r>
      <w:r w:rsidRPr="009502B1">
        <w:t>in relation to safety and quality and Commonwealth funding mechanisms.</w:t>
      </w:r>
    </w:p>
    <w:p w14:paraId="542E37F2" w14:textId="77777777" w:rsidR="00B7461D" w:rsidRPr="00B7461D" w:rsidRDefault="00B7461D" w:rsidP="00B7461D">
      <w:pPr>
        <w:spacing w:before="240" w:after="120"/>
        <w:outlineLvl w:val="2"/>
        <w:rPr>
          <w:rFonts w:ascii="Corbel" w:hAnsi="Corbel"/>
          <w:i/>
          <w:color w:val="3D4B67"/>
          <w:szCs w:val="48"/>
          <w:lang w:eastAsia="ja-JP"/>
        </w:rPr>
      </w:pPr>
      <w:r w:rsidRPr="00B7461D">
        <w:rPr>
          <w:rFonts w:ascii="Corbel" w:hAnsi="Corbel"/>
          <w:i/>
          <w:color w:val="3D4B67"/>
          <w:szCs w:val="48"/>
          <w:lang w:eastAsia="ja-JP"/>
        </w:rPr>
        <w:t>Bilateral Agreements on Coordinated Care</w:t>
      </w:r>
    </w:p>
    <w:p w14:paraId="542E37F3" w14:textId="77777777" w:rsidR="00B7461D" w:rsidRPr="009502B1" w:rsidRDefault="00B7461D" w:rsidP="009502B1">
      <w:pPr>
        <w:pStyle w:val="Normalnumbered"/>
        <w:numPr>
          <w:ilvl w:val="0"/>
          <w:numId w:val="1"/>
        </w:numPr>
      </w:pPr>
      <w:r w:rsidRPr="009502B1">
        <w:t>The Parties agree to develop and finalise bilateral agreements that set out jurisdiction</w:t>
      </w:r>
      <w:r w:rsidR="003329F0">
        <w:noBreakHyphen/>
      </w:r>
      <w:r w:rsidRPr="009502B1">
        <w:t xml:space="preserve">specific coordinated care reform activities that will be implemented from 1 July 2017.  The activities identified within the bilateral agreements will build on and support the existing investments in infrastructure, governance systems, and service programs and initiatives that already support patients with chronic and complex conditions.  </w:t>
      </w:r>
    </w:p>
    <w:p w14:paraId="542E37F4" w14:textId="77777777" w:rsidR="00B7461D" w:rsidRPr="009502B1" w:rsidRDefault="00B7461D" w:rsidP="009502B1">
      <w:pPr>
        <w:pStyle w:val="Normalnumbered"/>
        <w:numPr>
          <w:ilvl w:val="0"/>
          <w:numId w:val="1"/>
        </w:numPr>
      </w:pPr>
      <w:r w:rsidRPr="009502B1">
        <w:t>The Parties agree that coordinated care reforms for patients with chronic and complex conditions are central to a strong and sustainable health system, through reducing avoidable demand for health services and improving health outcomes.  The Parties agree that the bilateral agreements will be guided by the following principles:</w:t>
      </w:r>
    </w:p>
    <w:p w14:paraId="542E37F5" w14:textId="77777777" w:rsidR="00B7461D" w:rsidRPr="009502B1" w:rsidRDefault="00B7461D" w:rsidP="009502B1">
      <w:pPr>
        <w:pStyle w:val="Normalnumbered"/>
        <w:numPr>
          <w:ilvl w:val="1"/>
          <w:numId w:val="1"/>
        </w:numPr>
      </w:pPr>
      <w:r w:rsidRPr="009502B1">
        <w:t xml:space="preserve">Patient centred: </w:t>
      </w:r>
    </w:p>
    <w:p w14:paraId="542E37F6" w14:textId="77777777" w:rsidR="00B7461D" w:rsidRPr="009502B1" w:rsidRDefault="00B7461D" w:rsidP="009502B1">
      <w:pPr>
        <w:pStyle w:val="Normalnumbered"/>
        <w:numPr>
          <w:ilvl w:val="2"/>
          <w:numId w:val="1"/>
        </w:numPr>
      </w:pPr>
      <w:r w:rsidRPr="009502B1">
        <w:t>Engage patients with chronic and complex conditions, estimated to comprise up to 20</w:t>
      </w:r>
      <w:r w:rsidR="00E4670B">
        <w:t> per cent</w:t>
      </w:r>
      <w:r w:rsidR="00E4670B" w:rsidRPr="009502B1">
        <w:t xml:space="preserve"> </w:t>
      </w:r>
      <w:r w:rsidRPr="009502B1">
        <w:t>of the population, and their carers, as active partners with clinicians and broader health care team to improve patient health care experience and outcomes; and</w:t>
      </w:r>
    </w:p>
    <w:p w14:paraId="542E37F7" w14:textId="77777777" w:rsidR="00B7461D" w:rsidRPr="009502B1" w:rsidRDefault="00B7461D" w:rsidP="009502B1">
      <w:pPr>
        <w:pStyle w:val="Normalnumbered"/>
        <w:numPr>
          <w:ilvl w:val="2"/>
          <w:numId w:val="1"/>
        </w:numPr>
      </w:pPr>
      <w:r w:rsidRPr="009502B1">
        <w:lastRenderedPageBreak/>
        <w:t>Empower patients to maximise their knowledge, skills and confidence to manage their health, with the support of their health care team.</w:t>
      </w:r>
    </w:p>
    <w:p w14:paraId="542E37F8" w14:textId="77777777" w:rsidR="00B7461D" w:rsidRPr="009502B1" w:rsidRDefault="00B7461D" w:rsidP="009502B1">
      <w:pPr>
        <w:pStyle w:val="Normalnumbered"/>
        <w:numPr>
          <w:ilvl w:val="1"/>
          <w:numId w:val="1"/>
        </w:numPr>
      </w:pPr>
      <w:r w:rsidRPr="009502B1">
        <w:t>Evidence based:</w:t>
      </w:r>
    </w:p>
    <w:p w14:paraId="542E37F9" w14:textId="77777777" w:rsidR="00B7461D" w:rsidRPr="009502B1" w:rsidRDefault="00B7461D" w:rsidP="009502B1">
      <w:pPr>
        <w:pStyle w:val="Normalnumbered"/>
        <w:numPr>
          <w:ilvl w:val="2"/>
          <w:numId w:val="1"/>
        </w:numPr>
      </w:pPr>
      <w:r w:rsidRPr="009502B1">
        <w:t>Based on evidence, and/or seek to contribute to the evidence base for improving patient care;</w:t>
      </w:r>
    </w:p>
    <w:p w14:paraId="542E37FA" w14:textId="77777777" w:rsidR="00B7461D" w:rsidRPr="009502B1" w:rsidRDefault="00B7461D" w:rsidP="009502B1">
      <w:pPr>
        <w:pStyle w:val="Normalnumbered"/>
        <w:numPr>
          <w:ilvl w:val="2"/>
          <w:numId w:val="1"/>
        </w:numPr>
      </w:pPr>
      <w:r w:rsidRPr="009502B1">
        <w:t xml:space="preserve">Target patients that have multiple chronic and complex conditions and can most benefit from enhanced coordinated care; and </w:t>
      </w:r>
    </w:p>
    <w:p w14:paraId="542E37FB" w14:textId="77777777" w:rsidR="00B7461D" w:rsidRPr="009502B1" w:rsidRDefault="00B7461D" w:rsidP="009502B1">
      <w:pPr>
        <w:pStyle w:val="Normalnumbered"/>
        <w:numPr>
          <w:ilvl w:val="2"/>
          <w:numId w:val="1"/>
        </w:numPr>
      </w:pPr>
      <w:r w:rsidRPr="009502B1">
        <w:t xml:space="preserve">Include evaluation processes to assess the reforms, including where possible, impact on patient outcomes and experiences. </w:t>
      </w:r>
    </w:p>
    <w:p w14:paraId="542E37FC" w14:textId="77777777" w:rsidR="00B7461D" w:rsidRPr="009502B1" w:rsidRDefault="00B7461D" w:rsidP="009502B1">
      <w:pPr>
        <w:pStyle w:val="Normalnumbered"/>
        <w:numPr>
          <w:ilvl w:val="1"/>
          <w:numId w:val="1"/>
        </w:numPr>
      </w:pPr>
      <w:r w:rsidRPr="009502B1">
        <w:t>Consistent with whole-of-system efforts to deliver improved patient health outcomes:</w:t>
      </w:r>
    </w:p>
    <w:p w14:paraId="542E37FD" w14:textId="77777777" w:rsidR="00B7461D" w:rsidRPr="009502B1" w:rsidRDefault="00B7461D" w:rsidP="009502B1">
      <w:pPr>
        <w:pStyle w:val="Normalnumbered"/>
        <w:numPr>
          <w:ilvl w:val="2"/>
          <w:numId w:val="1"/>
        </w:numPr>
      </w:pPr>
      <w:r w:rsidRPr="009502B1">
        <w:t>Complement existing national and local measures to deliver better care and reduce avoidable demand for health services; and</w:t>
      </w:r>
    </w:p>
    <w:p w14:paraId="542E37FE" w14:textId="77777777" w:rsidR="00B7461D" w:rsidRPr="009502B1" w:rsidRDefault="00B7461D" w:rsidP="009502B1">
      <w:pPr>
        <w:pStyle w:val="Normalnumbered"/>
        <w:numPr>
          <w:ilvl w:val="2"/>
          <w:numId w:val="1"/>
        </w:numPr>
      </w:pPr>
      <w:r w:rsidRPr="009502B1">
        <w:t xml:space="preserve">Complement other reforms agreed </w:t>
      </w:r>
      <w:r w:rsidR="003329F0">
        <w:t>in this Schedule</w:t>
      </w:r>
      <w:r w:rsidRPr="009502B1">
        <w:t xml:space="preserve"> in relation to safety and quality and Commonwealth funding mechanisms.</w:t>
      </w:r>
    </w:p>
    <w:p w14:paraId="542E37FF" w14:textId="77777777" w:rsidR="00B7461D" w:rsidRPr="009502B1" w:rsidRDefault="00B7461D" w:rsidP="009502B1">
      <w:pPr>
        <w:pStyle w:val="Normalnumbered"/>
        <w:numPr>
          <w:ilvl w:val="1"/>
          <w:numId w:val="1"/>
        </w:numPr>
      </w:pPr>
      <w:r w:rsidRPr="009502B1">
        <w:t>Flexible and sustainable:</w:t>
      </w:r>
    </w:p>
    <w:p w14:paraId="542E3800" w14:textId="77777777" w:rsidR="00B7461D" w:rsidRPr="009502B1" w:rsidRDefault="00B7461D" w:rsidP="009502B1">
      <w:pPr>
        <w:pStyle w:val="Normalnumbered"/>
        <w:numPr>
          <w:ilvl w:val="2"/>
          <w:numId w:val="1"/>
        </w:numPr>
      </w:pPr>
      <w:r w:rsidRPr="009502B1">
        <w:t>Be flexible to enable jurisdictions and regional delivery structures to test different approaches and to tailor care coordination solutions to local circumstances, available funding, and service availability;</w:t>
      </w:r>
    </w:p>
    <w:p w14:paraId="542E3801" w14:textId="77777777" w:rsidR="00122B48" w:rsidRDefault="00B7461D" w:rsidP="009502B1">
      <w:pPr>
        <w:pStyle w:val="Normalnumbered"/>
        <w:numPr>
          <w:ilvl w:val="2"/>
          <w:numId w:val="1"/>
        </w:numPr>
      </w:pPr>
      <w:r w:rsidRPr="009502B1">
        <w:t xml:space="preserve">Encourage flexible and sustainable funding arrangements which may include collaborative, joint and/or pooled funding arrangements, including between Primary Health Networks and </w:t>
      </w:r>
      <w:r w:rsidR="000476BC">
        <w:t>LHNs</w:t>
      </w:r>
      <w:r w:rsidRPr="009502B1">
        <w:t xml:space="preserve">.  </w:t>
      </w:r>
    </w:p>
    <w:p w14:paraId="542E3802" w14:textId="77777777" w:rsidR="00B7461D" w:rsidRPr="009502B1" w:rsidRDefault="00B7461D" w:rsidP="009502B1">
      <w:pPr>
        <w:pStyle w:val="Normalnumbered"/>
        <w:numPr>
          <w:ilvl w:val="2"/>
          <w:numId w:val="1"/>
        </w:numPr>
      </w:pPr>
      <w:r w:rsidRPr="009502B1">
        <w:t xml:space="preserve">Encourage partnerships with other sectors (e.g. non-government and private sectors); and </w:t>
      </w:r>
    </w:p>
    <w:p w14:paraId="542E3803" w14:textId="77777777" w:rsidR="00B7461D" w:rsidRPr="009502B1" w:rsidRDefault="00B7461D" w:rsidP="009502B1">
      <w:pPr>
        <w:pStyle w:val="Normalnumbered"/>
        <w:numPr>
          <w:ilvl w:val="2"/>
          <w:numId w:val="1"/>
        </w:numPr>
      </w:pPr>
      <w:r w:rsidRPr="009502B1">
        <w:t>Seek cost effective and efficient targeting of available resources, while ensuring continuity of care for patients.</w:t>
      </w:r>
    </w:p>
    <w:p w14:paraId="542E3804" w14:textId="77777777" w:rsidR="00B7461D" w:rsidRPr="009502B1" w:rsidRDefault="00B7461D" w:rsidP="009502B1">
      <w:pPr>
        <w:pStyle w:val="Normalnumbered"/>
        <w:numPr>
          <w:ilvl w:val="0"/>
          <w:numId w:val="1"/>
        </w:numPr>
      </w:pPr>
      <w:r w:rsidRPr="009502B1">
        <w:t xml:space="preserve">The bilateral agreements will support the development of a joint national approach to enhanced coordinated care, and will provide flexibility to address local needs and priorities through core common characteristics and </w:t>
      </w:r>
      <w:r w:rsidR="00B27146">
        <w:t>priority</w:t>
      </w:r>
      <w:r w:rsidR="00B27146" w:rsidRPr="009502B1">
        <w:t xml:space="preserve"> </w:t>
      </w:r>
      <w:r w:rsidRPr="009502B1">
        <w:t xml:space="preserve">areas.  </w:t>
      </w:r>
    </w:p>
    <w:p w14:paraId="542E3805" w14:textId="77777777" w:rsidR="00B7461D" w:rsidRPr="009502B1" w:rsidRDefault="00B7461D" w:rsidP="009502B1">
      <w:pPr>
        <w:pStyle w:val="Normalnumbered"/>
        <w:numPr>
          <w:ilvl w:val="1"/>
          <w:numId w:val="1"/>
        </w:numPr>
      </w:pPr>
      <w:r w:rsidRPr="009502B1">
        <w:t xml:space="preserve">Common core characteristics to be included in all agreements are: </w:t>
      </w:r>
    </w:p>
    <w:p w14:paraId="542E3806" w14:textId="77777777" w:rsidR="00B7461D" w:rsidRPr="009502B1" w:rsidRDefault="00B7461D" w:rsidP="009502B1">
      <w:pPr>
        <w:pStyle w:val="Normalnumbered"/>
        <w:numPr>
          <w:ilvl w:val="2"/>
          <w:numId w:val="1"/>
        </w:numPr>
      </w:pPr>
      <w:r w:rsidRPr="009502B1">
        <w:t xml:space="preserve">Data collection and analysis; </w:t>
      </w:r>
    </w:p>
    <w:p w14:paraId="542E3807" w14:textId="77777777" w:rsidR="00B7461D" w:rsidRPr="009502B1" w:rsidRDefault="00B7461D" w:rsidP="009502B1">
      <w:pPr>
        <w:pStyle w:val="Normalnumbered"/>
        <w:numPr>
          <w:ilvl w:val="2"/>
          <w:numId w:val="1"/>
        </w:numPr>
      </w:pPr>
      <w:r w:rsidRPr="009502B1">
        <w:t xml:space="preserve">Care coordination services; and </w:t>
      </w:r>
    </w:p>
    <w:p w14:paraId="542E3808" w14:textId="77777777" w:rsidR="00B7461D" w:rsidRPr="009502B1" w:rsidRDefault="00B7461D" w:rsidP="009502B1">
      <w:pPr>
        <w:pStyle w:val="Normalnumbered"/>
        <w:numPr>
          <w:ilvl w:val="2"/>
          <w:numId w:val="1"/>
        </w:numPr>
      </w:pPr>
      <w:r w:rsidRPr="009502B1">
        <w:t>System integration.</w:t>
      </w:r>
    </w:p>
    <w:p w14:paraId="542E3809" w14:textId="77777777" w:rsidR="00B7461D" w:rsidRPr="009502B1" w:rsidRDefault="00B7461D" w:rsidP="009502B1">
      <w:pPr>
        <w:pStyle w:val="Normalnumbered"/>
        <w:numPr>
          <w:ilvl w:val="1"/>
          <w:numId w:val="1"/>
        </w:numPr>
      </w:pPr>
      <w:r w:rsidRPr="009502B1">
        <w:t xml:space="preserve">Examples of </w:t>
      </w:r>
      <w:r w:rsidR="00705BD4">
        <w:t>priorities</w:t>
      </w:r>
      <w:r w:rsidRPr="009502B1">
        <w:t xml:space="preserve"> that could be a focus for activities implemented under bilateral agreements include: </w:t>
      </w:r>
    </w:p>
    <w:p w14:paraId="542E380A" w14:textId="77777777" w:rsidR="00B7461D" w:rsidRPr="009502B1" w:rsidRDefault="00B7461D" w:rsidP="009502B1">
      <w:pPr>
        <w:pStyle w:val="Normalnumbered"/>
        <w:numPr>
          <w:ilvl w:val="2"/>
          <w:numId w:val="1"/>
        </w:numPr>
      </w:pPr>
      <w:r w:rsidRPr="009502B1">
        <w:t xml:space="preserve">Aged care integration; </w:t>
      </w:r>
    </w:p>
    <w:p w14:paraId="542E380B" w14:textId="77777777" w:rsidR="00B7461D" w:rsidRPr="009502B1" w:rsidRDefault="00B7461D" w:rsidP="009502B1">
      <w:pPr>
        <w:pStyle w:val="Normalnumbered"/>
        <w:numPr>
          <w:ilvl w:val="2"/>
          <w:numId w:val="1"/>
        </w:numPr>
      </w:pPr>
      <w:r w:rsidRPr="009502B1">
        <w:lastRenderedPageBreak/>
        <w:t xml:space="preserve">Multidisciplinary team based approach; </w:t>
      </w:r>
    </w:p>
    <w:p w14:paraId="542E380C" w14:textId="77777777" w:rsidR="00B7461D" w:rsidRPr="009502B1" w:rsidRDefault="00B7461D" w:rsidP="009502B1">
      <w:pPr>
        <w:pStyle w:val="Normalnumbered"/>
        <w:numPr>
          <w:ilvl w:val="2"/>
          <w:numId w:val="1"/>
        </w:numPr>
      </w:pPr>
      <w:r w:rsidRPr="009502B1">
        <w:t xml:space="preserve">End of life care;  </w:t>
      </w:r>
    </w:p>
    <w:p w14:paraId="542E380D" w14:textId="77777777" w:rsidR="00B7461D" w:rsidRPr="009502B1" w:rsidRDefault="00B7461D" w:rsidP="009502B1">
      <w:pPr>
        <w:pStyle w:val="Normalnumbered"/>
        <w:numPr>
          <w:ilvl w:val="2"/>
          <w:numId w:val="1"/>
        </w:numPr>
      </w:pPr>
      <w:r w:rsidRPr="009502B1">
        <w:t xml:space="preserve">Mental health; and  </w:t>
      </w:r>
    </w:p>
    <w:p w14:paraId="542E380E" w14:textId="77777777" w:rsidR="00B7461D" w:rsidRPr="009502B1" w:rsidRDefault="00B7461D" w:rsidP="009502B1">
      <w:pPr>
        <w:pStyle w:val="Normalnumbered"/>
        <w:numPr>
          <w:ilvl w:val="2"/>
          <w:numId w:val="1"/>
        </w:numPr>
      </w:pPr>
      <w:r w:rsidRPr="009502B1">
        <w:t>Rural and remote service delivery.</w:t>
      </w:r>
    </w:p>
    <w:p w14:paraId="542E380F" w14:textId="77777777" w:rsidR="00B7461D" w:rsidRPr="009502B1" w:rsidRDefault="00B7461D" w:rsidP="009502B1">
      <w:pPr>
        <w:pStyle w:val="Normalnumbered"/>
        <w:numPr>
          <w:ilvl w:val="0"/>
          <w:numId w:val="1"/>
        </w:numPr>
      </w:pPr>
      <w:r w:rsidRPr="009502B1">
        <w:t>The bilateral agreements will include arrangements to support the implementation of actions in common and priority areas.  These arrangements may include:</w:t>
      </w:r>
    </w:p>
    <w:p w14:paraId="542E3810" w14:textId="77777777" w:rsidR="00B7461D" w:rsidRPr="009502B1" w:rsidRDefault="00B7461D" w:rsidP="007A7B76">
      <w:pPr>
        <w:pStyle w:val="Normalnumbered"/>
        <w:numPr>
          <w:ilvl w:val="1"/>
          <w:numId w:val="1"/>
        </w:numPr>
      </w:pPr>
      <w:r w:rsidRPr="009502B1">
        <w:t>Arrangements for the sharing of patient information between States</w:t>
      </w:r>
      <w:r w:rsidR="006C4A60">
        <w:t xml:space="preserve"> </w:t>
      </w:r>
      <w:r w:rsidRPr="009502B1">
        <w:t>and the Commonwealth, with patient consent, including relevant hospitalisation, Medicare Benefits Schedule (MBS) and Pharmaceutical Benefits Schedule (PBS) data to support a better understanding of patients and service utilisation across the system and to potentially identify patients or patient characteristics that would benefit from better care co-ordination; and</w:t>
      </w:r>
    </w:p>
    <w:p w14:paraId="542E3811" w14:textId="77777777" w:rsidR="00B7461D" w:rsidRPr="009502B1" w:rsidRDefault="00B7461D" w:rsidP="007A7B76">
      <w:pPr>
        <w:pStyle w:val="Normalnumbered"/>
        <w:numPr>
          <w:ilvl w:val="1"/>
          <w:numId w:val="1"/>
        </w:numPr>
      </w:pPr>
      <w:r w:rsidRPr="009502B1">
        <w:t>Education and information for relevant state health funded health service providers that work with stage one Health Care Homes in participating regions (</w:t>
      </w:r>
      <w:r w:rsidRPr="00D46058">
        <w:t xml:space="preserve">see </w:t>
      </w:r>
      <w:r w:rsidRPr="0057539D">
        <w:t>Claus</w:t>
      </w:r>
      <w:r w:rsidR="009502B1" w:rsidRPr="0057539D">
        <w:t>e I</w:t>
      </w:r>
      <w:r w:rsidR="006D1C4A" w:rsidRPr="0057539D">
        <w:t>5</w:t>
      </w:r>
      <w:r w:rsidR="008C48BB" w:rsidRPr="0057539D">
        <w:t>5</w:t>
      </w:r>
      <w:r w:rsidRPr="0057539D">
        <w:t xml:space="preserve"> for details</w:t>
      </w:r>
      <w:r w:rsidRPr="009502B1">
        <w:t xml:space="preserve"> of Health Care Homes).</w:t>
      </w:r>
    </w:p>
    <w:p w14:paraId="542E3812" w14:textId="77777777" w:rsidR="00B7461D" w:rsidRPr="00B7461D" w:rsidRDefault="00B7461D" w:rsidP="00B7461D">
      <w:pPr>
        <w:spacing w:before="240" w:after="120"/>
        <w:outlineLvl w:val="2"/>
        <w:rPr>
          <w:rFonts w:ascii="Corbel" w:hAnsi="Corbel"/>
          <w:i/>
          <w:color w:val="3D4B67"/>
          <w:szCs w:val="48"/>
          <w:lang w:eastAsia="ja-JP"/>
        </w:rPr>
      </w:pPr>
      <w:r w:rsidRPr="00B7461D">
        <w:rPr>
          <w:rFonts w:ascii="Corbel" w:hAnsi="Corbel"/>
          <w:i/>
          <w:color w:val="3D4B67"/>
          <w:szCs w:val="48"/>
          <w:lang w:eastAsia="ja-JP"/>
        </w:rPr>
        <w:t>Health Care Homes implementation</w:t>
      </w:r>
    </w:p>
    <w:p w14:paraId="542E3813" w14:textId="77777777" w:rsidR="00B7461D" w:rsidRPr="009502B1" w:rsidRDefault="00B7461D" w:rsidP="009502B1">
      <w:pPr>
        <w:pStyle w:val="Normalnumbered"/>
        <w:numPr>
          <w:ilvl w:val="0"/>
          <w:numId w:val="1"/>
        </w:numPr>
      </w:pPr>
      <w:r w:rsidRPr="009502B1">
        <w:t>The bilateral agreements will complement the implementation by the Commonwealth of the first stage of the Health Care Home (HCH) model in primary health care, to commence in selected Primary Health Network regions from 1</w:t>
      </w:r>
      <w:r w:rsidR="00E4670B">
        <w:t> </w:t>
      </w:r>
      <w:r w:rsidRPr="009502B1">
        <w:t>July</w:t>
      </w:r>
      <w:r w:rsidR="00E4670B">
        <w:t> </w:t>
      </w:r>
      <w:r w:rsidRPr="009502B1">
        <w:t>2017.  Commonwealth implementation of HCH stage one includes:</w:t>
      </w:r>
    </w:p>
    <w:p w14:paraId="542E3814" w14:textId="77777777" w:rsidR="00B7461D" w:rsidRPr="009502B1" w:rsidRDefault="00B7461D" w:rsidP="009502B1">
      <w:pPr>
        <w:pStyle w:val="Normalnumbered"/>
        <w:numPr>
          <w:ilvl w:val="1"/>
          <w:numId w:val="1"/>
        </w:numPr>
      </w:pPr>
      <w:r w:rsidRPr="009502B1">
        <w:t>Recruitment and training of general practices and Aboriginal Medical Services to become a ‘home base’ for the ongoing care and management of patients with multiple complex and chronic disease;</w:t>
      </w:r>
    </w:p>
    <w:p w14:paraId="542E3815" w14:textId="77777777" w:rsidR="00B7461D" w:rsidRPr="009502B1" w:rsidRDefault="00B7461D" w:rsidP="009502B1">
      <w:pPr>
        <w:pStyle w:val="Normalnumbered"/>
        <w:numPr>
          <w:ilvl w:val="1"/>
          <w:numId w:val="1"/>
        </w:numPr>
      </w:pPr>
      <w:r w:rsidRPr="009502B1">
        <w:t>Patient identification through a model that predicts future risk of hospital admission, and their enrolment with HCHs;</w:t>
      </w:r>
    </w:p>
    <w:p w14:paraId="542E3816" w14:textId="77777777" w:rsidR="00B7461D" w:rsidRPr="009502B1" w:rsidRDefault="00B7461D" w:rsidP="009502B1">
      <w:pPr>
        <w:pStyle w:val="Normalnumbered"/>
        <w:numPr>
          <w:ilvl w:val="1"/>
          <w:numId w:val="1"/>
        </w:numPr>
      </w:pPr>
      <w:r w:rsidRPr="009502B1">
        <w:t>A new blended payment mechanism to provide practices with flexibility in how they deliver care and to incentivise delivery of high quality care;</w:t>
      </w:r>
    </w:p>
    <w:p w14:paraId="542E3817" w14:textId="77777777" w:rsidR="00B7461D" w:rsidRPr="009502B1" w:rsidRDefault="00B7461D" w:rsidP="009502B1">
      <w:pPr>
        <w:pStyle w:val="Normalnumbered"/>
        <w:numPr>
          <w:ilvl w:val="1"/>
          <w:numId w:val="1"/>
        </w:numPr>
      </w:pPr>
      <w:r w:rsidRPr="009502B1">
        <w:t>Data collection and associated quality improvement processes within participating general practices, including:</w:t>
      </w:r>
    </w:p>
    <w:p w14:paraId="542E3818" w14:textId="77777777" w:rsidR="00B7461D" w:rsidRPr="009502B1" w:rsidRDefault="00B7461D" w:rsidP="009502B1">
      <w:pPr>
        <w:pStyle w:val="Normalnumbered"/>
        <w:numPr>
          <w:ilvl w:val="2"/>
          <w:numId w:val="1"/>
        </w:numPr>
      </w:pPr>
      <w:r w:rsidRPr="009502B1">
        <w:t>Progress activities towards establishment of a National Minimum Data Set of de-identified information to help benchmark primary health care performance at a local, regional and national level to inform policy and identify region-specific issues and areas for improvement;</w:t>
      </w:r>
    </w:p>
    <w:p w14:paraId="542E3819" w14:textId="77777777" w:rsidR="00B7461D" w:rsidRPr="009502B1" w:rsidRDefault="00B7461D" w:rsidP="009502B1">
      <w:pPr>
        <w:pStyle w:val="Normalnumbered"/>
        <w:numPr>
          <w:ilvl w:val="2"/>
          <w:numId w:val="1"/>
        </w:numPr>
      </w:pPr>
      <w:r w:rsidRPr="009502B1">
        <w:t>Supporting HCHs and other primary care clinicians, such as allied health professionals, to have electronic medical record capability and encouraging uplift of patient records to My Health Record;  and</w:t>
      </w:r>
    </w:p>
    <w:p w14:paraId="542E381A" w14:textId="77777777" w:rsidR="00B7461D" w:rsidRPr="009502B1" w:rsidRDefault="00B7461D" w:rsidP="009502B1">
      <w:pPr>
        <w:pStyle w:val="Normalnumbered"/>
        <w:numPr>
          <w:ilvl w:val="2"/>
          <w:numId w:val="1"/>
        </w:numPr>
      </w:pPr>
      <w:r w:rsidRPr="009502B1">
        <w:t>Progress care plan templates that can capture comprehensive information about patients and which can be accessed via My Health Record.</w:t>
      </w:r>
    </w:p>
    <w:p w14:paraId="542E381B" w14:textId="77777777" w:rsidR="00B7461D" w:rsidRPr="009502B1" w:rsidRDefault="00B7461D" w:rsidP="009502B1">
      <w:pPr>
        <w:pStyle w:val="Normalnumbered"/>
        <w:numPr>
          <w:ilvl w:val="1"/>
          <w:numId w:val="1"/>
        </w:numPr>
      </w:pPr>
      <w:r w:rsidRPr="009502B1">
        <w:lastRenderedPageBreak/>
        <w:t>A comprehensive evaluation to determine impact on patient outcomes, hospitalisations and overall cost effectiveness of the model.</w:t>
      </w:r>
    </w:p>
    <w:p w14:paraId="542E381C" w14:textId="77777777" w:rsidR="00B7461D" w:rsidRDefault="00B7461D" w:rsidP="00B7461D">
      <w:pPr>
        <w:spacing w:before="240" w:after="120"/>
        <w:outlineLvl w:val="2"/>
        <w:rPr>
          <w:rFonts w:cs="Arial"/>
          <w:i/>
          <w:sz w:val="22"/>
          <w:szCs w:val="22"/>
        </w:rPr>
      </w:pPr>
      <w:r w:rsidRPr="00B7461D">
        <w:rPr>
          <w:rFonts w:ascii="Corbel" w:hAnsi="Corbel"/>
          <w:i/>
          <w:color w:val="3D4B67"/>
          <w:szCs w:val="48"/>
          <w:lang w:eastAsia="ja-JP"/>
        </w:rPr>
        <w:t>Evaluation of coordinated care reform activities</w:t>
      </w:r>
    </w:p>
    <w:p w14:paraId="542E381D" w14:textId="77777777" w:rsidR="00B7461D" w:rsidRPr="009502B1" w:rsidRDefault="00B7461D" w:rsidP="009502B1">
      <w:pPr>
        <w:pStyle w:val="Normalnumbered"/>
        <w:numPr>
          <w:ilvl w:val="0"/>
          <w:numId w:val="1"/>
        </w:numPr>
      </w:pPr>
      <w:r w:rsidRPr="009502B1">
        <w:t>Evaluation of the bilateral agreement activities will be undertaken by States and Territories and the Commonwealth in accordance with an agreed evaluation framework.  Where State reforms build on or directly support the HCH model, the evaluation of bilateral agreement activities may be undertaken in partnership with the Commonwealth as agreed.</w:t>
      </w:r>
    </w:p>
    <w:p w14:paraId="542E381E" w14:textId="77777777" w:rsidR="00B7461D" w:rsidRPr="009502B1" w:rsidRDefault="00B7461D" w:rsidP="009502B1">
      <w:pPr>
        <w:pStyle w:val="Normalnumbered"/>
        <w:numPr>
          <w:ilvl w:val="0"/>
          <w:numId w:val="1"/>
        </w:numPr>
      </w:pPr>
      <w:r w:rsidRPr="009502B1">
        <w:t xml:space="preserve">Evaluation of stage one of the HCH model will be undertaken by the Commonwealth.  </w:t>
      </w:r>
    </w:p>
    <w:p w14:paraId="542E381F" w14:textId="77777777" w:rsidR="00B7461D" w:rsidRPr="00744F1C" w:rsidRDefault="00B7461D" w:rsidP="00B7461D">
      <w:pPr>
        <w:pStyle w:val="Normalnumbered"/>
        <w:numPr>
          <w:ilvl w:val="0"/>
          <w:numId w:val="1"/>
        </w:numPr>
      </w:pPr>
      <w:r w:rsidRPr="009502B1">
        <w:t>The results of the bilateral agreement activity evaluations and the HCH evaluation will be drawn together to inform advice to COAG through the COAG Health Council in early 2019, for further consideration of a joint national approach to enhanced care coordination for patients with chronic and complex conditions.</w:t>
      </w:r>
    </w:p>
    <w:p w14:paraId="542E3820" w14:textId="77777777" w:rsidR="00796595" w:rsidRDefault="00796595" w:rsidP="00796595">
      <w:pPr>
        <w:spacing w:after="120"/>
        <w:outlineLvl w:val="2"/>
        <w:rPr>
          <w:rFonts w:ascii="Corbel" w:hAnsi="Corbel"/>
          <w:color w:val="3D4B67"/>
          <w:sz w:val="28"/>
          <w:szCs w:val="48"/>
          <w:lang w:eastAsia="ja-JP"/>
        </w:rPr>
      </w:pPr>
      <w:r>
        <w:rPr>
          <w:rFonts w:ascii="Corbel" w:hAnsi="Corbel"/>
          <w:color w:val="3D4B67"/>
          <w:sz w:val="28"/>
          <w:szCs w:val="48"/>
          <w:lang w:eastAsia="ja-JP"/>
        </w:rPr>
        <w:t>I</w:t>
      </w:r>
      <w:r w:rsidRPr="009204F1">
        <w:rPr>
          <w:rFonts w:ascii="Corbel" w:hAnsi="Corbel"/>
          <w:color w:val="3D4B67"/>
          <w:sz w:val="28"/>
          <w:szCs w:val="48"/>
          <w:lang w:eastAsia="ja-JP"/>
        </w:rPr>
        <w:t>ncorporating quality and safety into hospital pricing and funding</w:t>
      </w:r>
    </w:p>
    <w:p w14:paraId="542E3821" w14:textId="77777777" w:rsidR="00212477" w:rsidRPr="002906D5" w:rsidRDefault="00212477" w:rsidP="00212477">
      <w:pPr>
        <w:spacing w:before="240" w:after="120"/>
        <w:outlineLvl w:val="2"/>
        <w:rPr>
          <w:rFonts w:ascii="Corbel" w:hAnsi="Corbel"/>
          <w:i/>
          <w:color w:val="3D4B67"/>
          <w:szCs w:val="48"/>
          <w:lang w:eastAsia="ja-JP"/>
        </w:rPr>
      </w:pPr>
      <w:r w:rsidRPr="002906D5">
        <w:rPr>
          <w:rFonts w:ascii="Corbel" w:hAnsi="Corbel"/>
          <w:i/>
          <w:color w:val="3D4B67"/>
          <w:szCs w:val="48"/>
          <w:lang w:eastAsia="ja-JP"/>
        </w:rPr>
        <w:t>Context and intent</w:t>
      </w:r>
    </w:p>
    <w:p w14:paraId="542E3822" w14:textId="77777777" w:rsidR="00212477" w:rsidRDefault="00212477" w:rsidP="00212477">
      <w:pPr>
        <w:pStyle w:val="Normalnumbered"/>
        <w:numPr>
          <w:ilvl w:val="0"/>
          <w:numId w:val="1"/>
        </w:numPr>
      </w:pPr>
      <w:r w:rsidRPr="002906D5">
        <w:t xml:space="preserve">Australia’s public hospitals deliver safe, high quality care but there remain opportunities for improvement. Reducing </w:t>
      </w:r>
      <w:r w:rsidR="00784DA7">
        <w:t>S</w:t>
      </w:r>
      <w:r>
        <w:t xml:space="preserve">entinel </w:t>
      </w:r>
      <w:r w:rsidR="00784DA7">
        <w:t>Events</w:t>
      </w:r>
      <w:r w:rsidR="000B5FA4">
        <w:t>,</w:t>
      </w:r>
      <w:r w:rsidRPr="002906D5">
        <w:t xml:space="preserve"> </w:t>
      </w:r>
      <w:r>
        <w:t>Hospital Acquired C</w:t>
      </w:r>
      <w:r w:rsidRPr="002906D5">
        <w:t xml:space="preserve">omplications </w:t>
      </w:r>
      <w:r>
        <w:t xml:space="preserve">(HACs) and </w:t>
      </w:r>
      <w:r w:rsidR="00784DA7">
        <w:t>Avoidable R</w:t>
      </w:r>
      <w:r>
        <w:t xml:space="preserve">eadmissions </w:t>
      </w:r>
      <w:r w:rsidRPr="002906D5">
        <w:t>will deliver better health outcomes, improve patient safety and support greater efficiency in the health system.</w:t>
      </w:r>
    </w:p>
    <w:p w14:paraId="542E3823" w14:textId="77777777" w:rsidR="00212477" w:rsidRPr="002906D5" w:rsidRDefault="00212477" w:rsidP="00212477">
      <w:pPr>
        <w:pStyle w:val="Normalnumbered"/>
        <w:numPr>
          <w:ilvl w:val="0"/>
          <w:numId w:val="1"/>
        </w:numPr>
      </w:pPr>
      <w:r w:rsidRPr="002906D5">
        <w:t xml:space="preserve">The Parties agree to develop reforms to integrate safety and quality into the pricing and funding of </w:t>
      </w:r>
      <w:r w:rsidR="00784DA7">
        <w:t>P</w:t>
      </w:r>
      <w:r w:rsidR="00784DA7" w:rsidRPr="003B15CF">
        <w:t xml:space="preserve">ublic </w:t>
      </w:r>
      <w:r w:rsidR="00784DA7">
        <w:t>H</w:t>
      </w:r>
      <w:r w:rsidR="00784DA7" w:rsidRPr="003B15CF">
        <w:t xml:space="preserve">ospital </w:t>
      </w:r>
      <w:r w:rsidR="00784DA7">
        <w:t>S</w:t>
      </w:r>
      <w:r w:rsidR="00784DA7" w:rsidRPr="003B15CF">
        <w:t>ervices</w:t>
      </w:r>
      <w:r w:rsidR="00784DA7">
        <w:t xml:space="preserve"> </w:t>
      </w:r>
      <w:r w:rsidRPr="002906D5">
        <w:t>in a way that:</w:t>
      </w:r>
    </w:p>
    <w:p w14:paraId="542E3824" w14:textId="77777777" w:rsidR="00212477" w:rsidRPr="002906D5" w:rsidRDefault="00212477" w:rsidP="00212477">
      <w:pPr>
        <w:pStyle w:val="Normalnumbered"/>
        <w:numPr>
          <w:ilvl w:val="1"/>
          <w:numId w:val="1"/>
        </w:numPr>
      </w:pPr>
      <w:r w:rsidRPr="002906D5">
        <w:t>Improves patient outcomes;</w:t>
      </w:r>
    </w:p>
    <w:p w14:paraId="542E3825" w14:textId="77777777" w:rsidR="00212477" w:rsidRPr="002906D5" w:rsidRDefault="00212477" w:rsidP="00212477">
      <w:pPr>
        <w:pStyle w:val="Normalnumbered"/>
        <w:numPr>
          <w:ilvl w:val="1"/>
          <w:numId w:val="1"/>
        </w:numPr>
      </w:pPr>
      <w:r w:rsidRPr="002906D5">
        <w:t>Provides an incentive in the system to provide the right care, in the right place, at the right time;</w:t>
      </w:r>
    </w:p>
    <w:p w14:paraId="542E3826" w14:textId="77777777" w:rsidR="00212477" w:rsidRPr="002906D5" w:rsidRDefault="00212477" w:rsidP="00212477">
      <w:pPr>
        <w:pStyle w:val="Normalnumbered"/>
        <w:numPr>
          <w:ilvl w:val="1"/>
          <w:numId w:val="1"/>
        </w:numPr>
      </w:pPr>
      <w:r w:rsidRPr="002906D5">
        <w:t xml:space="preserve">Decreases avoidable demand for </w:t>
      </w:r>
      <w:r>
        <w:t>public hospital</w:t>
      </w:r>
      <w:r w:rsidRPr="002906D5">
        <w:t xml:space="preserve"> services; and</w:t>
      </w:r>
    </w:p>
    <w:p w14:paraId="542E3827" w14:textId="77777777" w:rsidR="00212477" w:rsidRPr="002906D5" w:rsidRDefault="00212477" w:rsidP="00212477">
      <w:pPr>
        <w:pStyle w:val="Normalnumbered"/>
        <w:numPr>
          <w:ilvl w:val="1"/>
          <w:numId w:val="1"/>
        </w:numPr>
      </w:pPr>
      <w:r w:rsidRPr="002906D5">
        <w:t xml:space="preserve">Signals </w:t>
      </w:r>
      <w:r>
        <w:t xml:space="preserve">to the health system </w:t>
      </w:r>
      <w:r w:rsidRPr="002906D5">
        <w:t>the need to reduce instances of preventable poor quality patient care, while supporting improvements in data quality and information available to inform clinicians’ practice.</w:t>
      </w:r>
    </w:p>
    <w:p w14:paraId="542E3828" w14:textId="77777777" w:rsidR="00212477" w:rsidRPr="002906D5" w:rsidRDefault="00212477" w:rsidP="00212477">
      <w:pPr>
        <w:pStyle w:val="Normalnumbered"/>
        <w:numPr>
          <w:ilvl w:val="0"/>
          <w:numId w:val="1"/>
        </w:numPr>
      </w:pPr>
      <w:r w:rsidRPr="002906D5">
        <w:t xml:space="preserve">The Parties agree that development of pricing and funding adjustments for </w:t>
      </w:r>
      <w:r w:rsidR="00784DA7">
        <w:t>S</w:t>
      </w:r>
      <w:r w:rsidR="00784DA7" w:rsidRPr="002906D5">
        <w:t xml:space="preserve">entinel </w:t>
      </w:r>
      <w:r w:rsidR="00784DA7">
        <w:t>E</w:t>
      </w:r>
      <w:r w:rsidR="00784DA7" w:rsidRPr="002906D5">
        <w:t>vents</w:t>
      </w:r>
      <w:r>
        <w:t>,</w:t>
      </w:r>
      <w:r w:rsidRPr="002906D5">
        <w:t xml:space="preserve"> HACs</w:t>
      </w:r>
      <w:r>
        <w:t xml:space="preserve"> and </w:t>
      </w:r>
      <w:r w:rsidR="00784DA7">
        <w:t>Avoidable Readmissions</w:t>
      </w:r>
      <w:r w:rsidR="00784DA7" w:rsidRPr="002906D5">
        <w:t xml:space="preserve"> </w:t>
      </w:r>
      <w:r w:rsidRPr="002906D5">
        <w:t>is part of a multifaceted, system-wide approach to safety and quality</w:t>
      </w:r>
      <w:r>
        <w:t>, which includes national standards, accreditation, and workforce development</w:t>
      </w:r>
      <w:r w:rsidRPr="002906D5">
        <w:t>.</w:t>
      </w:r>
      <w:r>
        <w:t xml:space="preserve">  </w:t>
      </w:r>
    </w:p>
    <w:p w14:paraId="542E3829" w14:textId="77777777" w:rsidR="00212477" w:rsidRPr="00C9507F" w:rsidRDefault="00212477" w:rsidP="00212477">
      <w:pPr>
        <w:pStyle w:val="Normalnumbered"/>
        <w:numPr>
          <w:ilvl w:val="1"/>
          <w:numId w:val="23"/>
        </w:numPr>
        <w:rPr>
          <w:i/>
        </w:rPr>
      </w:pPr>
      <w:r>
        <w:t xml:space="preserve">The Parties recognise that safety and quality </w:t>
      </w:r>
      <w:r w:rsidRPr="002906D5">
        <w:t xml:space="preserve">reforms </w:t>
      </w:r>
      <w:r>
        <w:t xml:space="preserve">are </w:t>
      </w:r>
      <w:r w:rsidRPr="002906D5">
        <w:t xml:space="preserve">connected </w:t>
      </w:r>
      <w:r>
        <w:t>to</w:t>
      </w:r>
      <w:r w:rsidRPr="002906D5">
        <w:t xml:space="preserve"> wider health system reforms, particularly better coordinated care.</w:t>
      </w:r>
    </w:p>
    <w:p w14:paraId="542E382A" w14:textId="77777777" w:rsidR="00212477" w:rsidRPr="005E3CD9" w:rsidRDefault="00212477" w:rsidP="00212477">
      <w:pPr>
        <w:pStyle w:val="Normalnumbered"/>
        <w:numPr>
          <w:ilvl w:val="1"/>
          <w:numId w:val="23"/>
        </w:numPr>
        <w:rPr>
          <w:i/>
        </w:rPr>
      </w:pPr>
      <w:r w:rsidRPr="002906D5">
        <w:t xml:space="preserve">Together, these reforms will establish better system capability and culture to support the reduction of </w:t>
      </w:r>
      <w:r>
        <w:t xml:space="preserve">ineffective interventions and procedures known to be harmful </w:t>
      </w:r>
      <w:r w:rsidRPr="002906D5">
        <w:t>in the longer term</w:t>
      </w:r>
      <w:r>
        <w:t xml:space="preserve">, beyond the immediate focus on </w:t>
      </w:r>
      <w:r w:rsidR="00784DA7">
        <w:t>S</w:t>
      </w:r>
      <w:r w:rsidR="00784DA7" w:rsidRPr="002906D5">
        <w:t xml:space="preserve">entinel </w:t>
      </w:r>
      <w:r w:rsidR="00784DA7">
        <w:t>E</w:t>
      </w:r>
      <w:r w:rsidR="00784DA7" w:rsidRPr="002906D5">
        <w:t>vents</w:t>
      </w:r>
      <w:r w:rsidR="00784DA7">
        <w:t>,</w:t>
      </w:r>
      <w:r w:rsidR="00784DA7" w:rsidRPr="002906D5">
        <w:t xml:space="preserve"> HACs</w:t>
      </w:r>
      <w:r w:rsidR="00784DA7">
        <w:t xml:space="preserve"> and Avoidable Readmissions</w:t>
      </w:r>
      <w:r w:rsidRPr="002906D5">
        <w:t>.</w:t>
      </w:r>
      <w:r>
        <w:t xml:space="preserve"> </w:t>
      </w:r>
    </w:p>
    <w:p w14:paraId="542E382B" w14:textId="77777777" w:rsidR="005E3CD9" w:rsidRPr="00EE02B5" w:rsidRDefault="005E3CD9" w:rsidP="005E3CD9">
      <w:pPr>
        <w:pStyle w:val="Normalnumbered"/>
        <w:numPr>
          <w:ilvl w:val="0"/>
          <w:numId w:val="1"/>
        </w:numPr>
      </w:pPr>
      <w:r w:rsidRPr="00EE02B5">
        <w:lastRenderedPageBreak/>
        <w:t xml:space="preserve">For the avoidance of doubt, the Parties agree that </w:t>
      </w:r>
      <w:r w:rsidR="00854D3D" w:rsidRPr="00EE02B5">
        <w:t>Sentinel Event</w:t>
      </w:r>
      <w:r w:rsidR="000C7BD3" w:rsidRPr="00EE02B5">
        <w:t>s</w:t>
      </w:r>
      <w:r w:rsidR="00854D3D" w:rsidRPr="00EE02B5">
        <w:t xml:space="preserve"> and Safety and Quality </w:t>
      </w:r>
      <w:r w:rsidRPr="00EE02B5">
        <w:t xml:space="preserve">adjustments will be subject to back-casting under Clause A40.  </w:t>
      </w:r>
    </w:p>
    <w:p w14:paraId="542E382C" w14:textId="77777777" w:rsidR="00212477" w:rsidRPr="002906D5" w:rsidRDefault="00212477" w:rsidP="00212477">
      <w:pPr>
        <w:spacing w:after="120"/>
        <w:outlineLvl w:val="2"/>
        <w:rPr>
          <w:rFonts w:ascii="Corbel" w:hAnsi="Corbel"/>
          <w:i/>
          <w:color w:val="3D4B67"/>
          <w:szCs w:val="48"/>
          <w:lang w:eastAsia="ja-JP"/>
        </w:rPr>
      </w:pPr>
      <w:r w:rsidRPr="002906D5">
        <w:rPr>
          <w:rFonts w:ascii="Corbel" w:hAnsi="Corbel"/>
          <w:i/>
          <w:color w:val="3D4B67"/>
          <w:szCs w:val="48"/>
          <w:lang w:eastAsia="ja-JP"/>
        </w:rPr>
        <w:t>Sentinel events</w:t>
      </w:r>
    </w:p>
    <w:p w14:paraId="542E382D" w14:textId="77777777" w:rsidR="00212477" w:rsidRPr="002906D5" w:rsidRDefault="00212477" w:rsidP="00212477">
      <w:pPr>
        <w:pStyle w:val="Normalnumbered"/>
        <w:numPr>
          <w:ilvl w:val="0"/>
          <w:numId w:val="1"/>
        </w:numPr>
      </w:pPr>
      <w:r w:rsidRPr="002906D5">
        <w:t xml:space="preserve">The Parties agree </w:t>
      </w:r>
      <w:r>
        <w:t>that a</w:t>
      </w:r>
      <w:r w:rsidRPr="00CC44C4">
        <w:t xml:space="preserve">ny episode of care </w:t>
      </w:r>
      <w:r w:rsidR="0006535F">
        <w:t>that gives rise to</w:t>
      </w:r>
      <w:r w:rsidR="0006535F" w:rsidRPr="00CC44C4">
        <w:t xml:space="preserve"> </w:t>
      </w:r>
      <w:r w:rsidRPr="00CC44C4">
        <w:t xml:space="preserve">a </w:t>
      </w:r>
      <w:r w:rsidR="00784DA7">
        <w:t>S</w:t>
      </w:r>
      <w:r w:rsidR="00784DA7" w:rsidRPr="00CC44C4">
        <w:t xml:space="preserve">entinel </w:t>
      </w:r>
      <w:r w:rsidR="00784DA7">
        <w:t>E</w:t>
      </w:r>
      <w:r w:rsidR="00784DA7" w:rsidRPr="00CC44C4">
        <w:t xml:space="preserve">vent </w:t>
      </w:r>
      <w:r w:rsidRPr="00CC44C4">
        <w:t xml:space="preserve">will not be funded </w:t>
      </w:r>
      <w:r>
        <w:t xml:space="preserve">by the Commonwealth </w:t>
      </w:r>
      <w:r w:rsidRPr="002906D5">
        <w:t>from 1 July 2017</w:t>
      </w:r>
      <w:r>
        <w:t>.</w:t>
      </w:r>
      <w:r w:rsidRPr="002C7410">
        <w:t xml:space="preserve"> </w:t>
      </w:r>
      <w:r>
        <w:t>T</w:t>
      </w:r>
      <w:r w:rsidRPr="00CC44C4">
        <w:t>he episode</w:t>
      </w:r>
      <w:r>
        <w:t xml:space="preserve"> will</w:t>
      </w:r>
      <w:r w:rsidRPr="00CC44C4">
        <w:t xml:space="preserve"> be assigned a </w:t>
      </w:r>
      <w:r w:rsidR="00BC0B31">
        <w:t>NWAU</w:t>
      </w:r>
      <w:r w:rsidRPr="00CC44C4">
        <w:t xml:space="preserve"> of zero</w:t>
      </w:r>
      <w:r>
        <w:t>.</w:t>
      </w:r>
    </w:p>
    <w:p w14:paraId="542E382E" w14:textId="77777777" w:rsidR="00212477" w:rsidRPr="002906D5" w:rsidRDefault="00212477" w:rsidP="00212477">
      <w:pPr>
        <w:pStyle w:val="Normalnumbered"/>
        <w:numPr>
          <w:ilvl w:val="0"/>
          <w:numId w:val="1"/>
        </w:numPr>
      </w:pPr>
      <w:r>
        <w:t>States agree to apply</w:t>
      </w:r>
      <w:r w:rsidRPr="000B3D51">
        <w:t xml:space="preserve"> a </w:t>
      </w:r>
      <w:r>
        <w:t xml:space="preserve">digital </w:t>
      </w:r>
      <w:r w:rsidRPr="000B3D51">
        <w:t>flag</w:t>
      </w:r>
      <w:r>
        <w:t xml:space="preserve"> as soon as practicable </w:t>
      </w:r>
      <w:r w:rsidRPr="000B3D51">
        <w:t xml:space="preserve">to any episode </w:t>
      </w:r>
      <w:r>
        <w:t>that includes</w:t>
      </w:r>
      <w:r w:rsidRPr="000B3D51">
        <w:t xml:space="preserve"> </w:t>
      </w:r>
      <w:r>
        <w:t xml:space="preserve">a </w:t>
      </w:r>
      <w:r w:rsidR="00784DA7">
        <w:t xml:space="preserve">Sentinel Event </w:t>
      </w:r>
      <w:r>
        <w:t>and report this information to IHPA as part of data submissions under Clauses A8 and B93 of this Agreement. The Parties will consider development of a linkable dataset as a longer-term solution by 30 June 2020.</w:t>
      </w:r>
    </w:p>
    <w:p w14:paraId="542E382F" w14:textId="77777777" w:rsidR="00212477" w:rsidRPr="002906D5" w:rsidRDefault="00212477" w:rsidP="00212477">
      <w:pPr>
        <w:spacing w:after="120"/>
        <w:outlineLvl w:val="2"/>
        <w:rPr>
          <w:rFonts w:ascii="Corbel" w:hAnsi="Corbel"/>
          <w:i/>
          <w:color w:val="3D4B67"/>
          <w:szCs w:val="48"/>
          <w:lang w:eastAsia="ja-JP"/>
        </w:rPr>
      </w:pPr>
      <w:r w:rsidRPr="002906D5">
        <w:rPr>
          <w:rFonts w:ascii="Corbel" w:hAnsi="Corbel"/>
          <w:i/>
          <w:color w:val="3D4B67"/>
          <w:szCs w:val="48"/>
          <w:lang w:eastAsia="ja-JP"/>
        </w:rPr>
        <w:t xml:space="preserve">Hospital Acquired Complications </w:t>
      </w:r>
    </w:p>
    <w:p w14:paraId="542E3830" w14:textId="77777777" w:rsidR="00212477" w:rsidRDefault="00212477" w:rsidP="00212477">
      <w:pPr>
        <w:pStyle w:val="Normalnumbered"/>
        <w:numPr>
          <w:ilvl w:val="0"/>
          <w:numId w:val="1"/>
        </w:numPr>
      </w:pPr>
      <w:r w:rsidRPr="002906D5">
        <w:t>The Parties agree to develop, in consultation with the ACSQHC</w:t>
      </w:r>
      <w:r>
        <w:t>, IHPA and the Administrator, a comprehensive pricing and funding model, that:</w:t>
      </w:r>
    </w:p>
    <w:p w14:paraId="542E3831" w14:textId="77777777" w:rsidR="00212477" w:rsidRPr="002906D5" w:rsidRDefault="00784DA7" w:rsidP="00212477">
      <w:pPr>
        <w:pStyle w:val="Normalnumbered"/>
        <w:numPr>
          <w:ilvl w:val="1"/>
          <w:numId w:val="1"/>
        </w:numPr>
      </w:pPr>
      <w:r>
        <w:t>Is r</w:t>
      </w:r>
      <w:r w:rsidR="00212477" w:rsidRPr="002906D5">
        <w:t>igorous, fair and transparent;</w:t>
      </w:r>
    </w:p>
    <w:p w14:paraId="542E3832" w14:textId="77777777" w:rsidR="00212477" w:rsidRPr="002906D5" w:rsidRDefault="00212477" w:rsidP="00212477">
      <w:pPr>
        <w:pStyle w:val="Normalnumbered"/>
        <w:numPr>
          <w:ilvl w:val="1"/>
          <w:numId w:val="1"/>
        </w:numPr>
      </w:pPr>
      <w:r>
        <w:t xml:space="preserve">Does not incentivise </w:t>
      </w:r>
      <w:r w:rsidRPr="002906D5">
        <w:t>under reporting, or adversely affect service delivery; and</w:t>
      </w:r>
    </w:p>
    <w:p w14:paraId="542E3833" w14:textId="77777777" w:rsidR="00212477" w:rsidRPr="002906D5" w:rsidRDefault="00784DA7" w:rsidP="00212477">
      <w:pPr>
        <w:pStyle w:val="Normalnumbered"/>
        <w:numPr>
          <w:ilvl w:val="1"/>
          <w:numId w:val="1"/>
        </w:numPr>
      </w:pPr>
      <w:r>
        <w:t>Is s</w:t>
      </w:r>
      <w:r w:rsidR="00212477">
        <w:t>ignificant enough to be an effective overall price signal from the Commonwealth through to hospitals.</w:t>
      </w:r>
    </w:p>
    <w:p w14:paraId="542E3834" w14:textId="77777777" w:rsidR="00212477" w:rsidRPr="002906D5" w:rsidRDefault="00212477" w:rsidP="00212477">
      <w:pPr>
        <w:pStyle w:val="Normalnumbered"/>
        <w:numPr>
          <w:ilvl w:val="0"/>
          <w:numId w:val="1"/>
        </w:numPr>
      </w:pPr>
      <w:r w:rsidRPr="002906D5">
        <w:t xml:space="preserve">The Parties agree to </w:t>
      </w:r>
      <w:r>
        <w:t>shadow the preferred pricing and funding option for HAC</w:t>
      </w:r>
      <w:r w:rsidR="00784DA7">
        <w:t>s</w:t>
      </w:r>
      <w:r>
        <w:t xml:space="preserve"> from 1</w:t>
      </w:r>
      <w:r w:rsidR="00133020">
        <w:t> </w:t>
      </w:r>
      <w:r>
        <w:t>July</w:t>
      </w:r>
      <w:r w:rsidR="00133020">
        <w:t> </w:t>
      </w:r>
      <w:r>
        <w:t>2017 in order to</w:t>
      </w:r>
      <w:r w:rsidRPr="002906D5">
        <w:t>:</w:t>
      </w:r>
    </w:p>
    <w:p w14:paraId="542E3835" w14:textId="77777777" w:rsidR="00212477" w:rsidRDefault="00212477" w:rsidP="00212477">
      <w:pPr>
        <w:pStyle w:val="Normalnumbered"/>
        <w:numPr>
          <w:ilvl w:val="1"/>
          <w:numId w:val="1"/>
        </w:numPr>
      </w:pPr>
      <w:r>
        <w:t>Improve data quality and identify any significant issues that need to be addressed prior to implementation;</w:t>
      </w:r>
    </w:p>
    <w:p w14:paraId="542E3836" w14:textId="77777777" w:rsidR="00212477" w:rsidRPr="002906D5" w:rsidRDefault="00212477" w:rsidP="00212477">
      <w:pPr>
        <w:pStyle w:val="Normalnumbered"/>
        <w:numPr>
          <w:ilvl w:val="1"/>
          <w:numId w:val="1"/>
        </w:numPr>
      </w:pPr>
      <w:r w:rsidRPr="002906D5">
        <w:t xml:space="preserve">Monitor </w:t>
      </w:r>
      <w:r>
        <w:t xml:space="preserve">any changes in </w:t>
      </w:r>
      <w:r w:rsidRPr="002906D5">
        <w:t>the incidence of HACs in public hospitals;</w:t>
      </w:r>
    </w:p>
    <w:p w14:paraId="542E3837" w14:textId="77777777" w:rsidR="00212477" w:rsidRPr="002906D5" w:rsidRDefault="00212477" w:rsidP="00212477">
      <w:pPr>
        <w:pStyle w:val="Normalnumbered"/>
        <w:numPr>
          <w:ilvl w:val="1"/>
          <w:numId w:val="1"/>
        </w:numPr>
      </w:pPr>
      <w:r w:rsidRPr="002906D5">
        <w:t xml:space="preserve">Refine </w:t>
      </w:r>
      <w:r>
        <w:t xml:space="preserve">data and </w:t>
      </w:r>
      <w:r w:rsidRPr="002906D5">
        <w:t xml:space="preserve">reporting requirements for HACs occurring in public hospitals; </w:t>
      </w:r>
    </w:p>
    <w:p w14:paraId="542E3838" w14:textId="77777777" w:rsidR="00212477" w:rsidRDefault="00212477" w:rsidP="00212477">
      <w:pPr>
        <w:pStyle w:val="Normalnumbered"/>
        <w:numPr>
          <w:ilvl w:val="1"/>
          <w:numId w:val="1"/>
        </w:numPr>
      </w:pPr>
      <w:r w:rsidRPr="002906D5">
        <w:t xml:space="preserve">Engage with the health system to ensure readiness for </w:t>
      </w:r>
      <w:r>
        <w:t>the</w:t>
      </w:r>
      <w:r w:rsidRPr="002906D5">
        <w:t xml:space="preserve"> implementation</w:t>
      </w:r>
      <w:r>
        <w:t xml:space="preserve"> of the agreed model;</w:t>
      </w:r>
    </w:p>
    <w:p w14:paraId="542E3839" w14:textId="77777777" w:rsidR="00212477" w:rsidRDefault="00212477" w:rsidP="00212477">
      <w:pPr>
        <w:pStyle w:val="Normalnumbered"/>
        <w:numPr>
          <w:ilvl w:val="1"/>
          <w:numId w:val="1"/>
        </w:numPr>
      </w:pPr>
      <w:r>
        <w:t xml:space="preserve">Confirm the suitability of </w:t>
      </w:r>
      <w:r w:rsidRPr="00122555">
        <w:t>complications on the HAC List for inclusion in a pricing and funding model</w:t>
      </w:r>
      <w:r>
        <w:t>;</w:t>
      </w:r>
    </w:p>
    <w:p w14:paraId="542E383A" w14:textId="77777777" w:rsidR="00212477" w:rsidRDefault="00212477" w:rsidP="00212477">
      <w:pPr>
        <w:pStyle w:val="Normalnumbered"/>
        <w:numPr>
          <w:ilvl w:val="1"/>
          <w:numId w:val="1"/>
        </w:numPr>
      </w:pPr>
      <w:r>
        <w:t xml:space="preserve">Engage broadly with clinician groups on the proposed approach to ensure efficacy; </w:t>
      </w:r>
      <w:r w:rsidR="00133020">
        <w:t>and</w:t>
      </w:r>
    </w:p>
    <w:p w14:paraId="542E383B" w14:textId="77777777" w:rsidR="00212477" w:rsidRDefault="00212477" w:rsidP="00212477">
      <w:pPr>
        <w:pStyle w:val="Normalnumbered"/>
        <w:numPr>
          <w:ilvl w:val="1"/>
          <w:numId w:val="1"/>
        </w:numPr>
      </w:pPr>
      <w:r>
        <w:t>Refine the HAC risk and complexity adjustment methodology in consultation with the Commonwealth</w:t>
      </w:r>
      <w:r w:rsidR="00784DA7">
        <w:t xml:space="preserve"> and </w:t>
      </w:r>
      <w:r>
        <w:t>States in 2017, including a peer review process to ensure that it is fit for purpose</w:t>
      </w:r>
      <w:r w:rsidRPr="00122555">
        <w:t>.</w:t>
      </w:r>
    </w:p>
    <w:p w14:paraId="542E383C" w14:textId="77777777" w:rsidR="00212477" w:rsidRDefault="00212477" w:rsidP="00212477">
      <w:pPr>
        <w:pStyle w:val="Normalnumbered"/>
        <w:numPr>
          <w:ilvl w:val="0"/>
          <w:numId w:val="1"/>
        </w:numPr>
      </w:pPr>
      <w:r>
        <w:t>IHPA will develop a preliminary report assessing the shadow implementation, including the impact of the preferred model on funding, data reporting, clinical information systems, and specific population and peer hospital groups. The preliminary report will be publicly consulted on, with the final report to be submitted to COAG Health Council by 30 November 2017.</w:t>
      </w:r>
    </w:p>
    <w:p w14:paraId="542E383D" w14:textId="77777777" w:rsidR="00212477" w:rsidRDefault="00212477" w:rsidP="00212477">
      <w:pPr>
        <w:pStyle w:val="Normalnumbered"/>
        <w:numPr>
          <w:ilvl w:val="1"/>
          <w:numId w:val="1"/>
        </w:numPr>
      </w:pPr>
      <w:r>
        <w:lastRenderedPageBreak/>
        <w:t>To assess shadow implementation, IHPA will use available activity data and the most recent available cost data from the National Hospital Cost Data Collection.</w:t>
      </w:r>
    </w:p>
    <w:p w14:paraId="542E383E" w14:textId="77777777" w:rsidR="00212477" w:rsidRDefault="00212477" w:rsidP="00212477">
      <w:pPr>
        <w:pStyle w:val="Normalnumbered"/>
        <w:numPr>
          <w:ilvl w:val="0"/>
          <w:numId w:val="1"/>
        </w:numPr>
      </w:pPr>
      <w:r>
        <w:t>The Parties intend to introduce a pricing and funding model for HACs from 1</w:t>
      </w:r>
      <w:r w:rsidR="00DF0977">
        <w:t> </w:t>
      </w:r>
      <w:r>
        <w:t>July</w:t>
      </w:r>
      <w:r w:rsidR="00DF0977">
        <w:t> </w:t>
      </w:r>
      <w:r>
        <w:t xml:space="preserve">2018, subject to the results of the shadow implementation to be considered </w:t>
      </w:r>
      <w:r w:rsidRPr="003E1A53">
        <w:t>by COAG Health Council.</w:t>
      </w:r>
    </w:p>
    <w:p w14:paraId="542E383F" w14:textId="77777777" w:rsidR="00212477" w:rsidRPr="002906D5" w:rsidRDefault="00212477" w:rsidP="00212477">
      <w:pPr>
        <w:pStyle w:val="Normalnumbered"/>
        <w:numPr>
          <w:ilvl w:val="0"/>
          <w:numId w:val="1"/>
        </w:numPr>
      </w:pPr>
      <w:r>
        <w:t>To confirm the suitability of the complications on the HAC List in a pricing and funding model, the Parties will use the following four criteria:</w:t>
      </w:r>
    </w:p>
    <w:p w14:paraId="542E3840" w14:textId="77777777" w:rsidR="00212477" w:rsidRDefault="00212477" w:rsidP="00212477">
      <w:pPr>
        <w:pStyle w:val="Normalnumbered"/>
        <w:numPr>
          <w:ilvl w:val="1"/>
          <w:numId w:val="1"/>
        </w:numPr>
      </w:pPr>
      <w:r>
        <w:t>Preventability:</w:t>
      </w:r>
    </w:p>
    <w:p w14:paraId="542E3841" w14:textId="77777777" w:rsidR="00212477" w:rsidRDefault="00212477" w:rsidP="00212477">
      <w:pPr>
        <w:pStyle w:val="Normalnumbered"/>
        <w:numPr>
          <w:ilvl w:val="2"/>
          <w:numId w:val="1"/>
        </w:numPr>
      </w:pPr>
      <w:r>
        <w:t>Clinical evidence is available to demonstrate that the HAC can be prevented with ‘best clinical practice’.</w:t>
      </w:r>
    </w:p>
    <w:p w14:paraId="542E3842" w14:textId="77777777" w:rsidR="00212477" w:rsidRDefault="00212477" w:rsidP="00212477">
      <w:pPr>
        <w:pStyle w:val="Normalnumbered"/>
        <w:numPr>
          <w:ilvl w:val="2"/>
          <w:numId w:val="1"/>
        </w:numPr>
      </w:pPr>
      <w:r>
        <w:t xml:space="preserve">Evidence supports that individual LHNs (including single campus and specialist hospitals) are able to prevent the </w:t>
      </w:r>
      <w:r w:rsidR="00784DA7">
        <w:t>HAC</w:t>
      </w:r>
      <w:r>
        <w:t xml:space="preserve"> and that the causes of such condition are within the control of the hospital. </w:t>
      </w:r>
    </w:p>
    <w:p w14:paraId="542E3843" w14:textId="77777777" w:rsidR="00212477" w:rsidRDefault="00212477" w:rsidP="00212477">
      <w:pPr>
        <w:pStyle w:val="Normalnumbered"/>
        <w:numPr>
          <w:ilvl w:val="2"/>
          <w:numId w:val="1"/>
        </w:numPr>
      </w:pPr>
      <w:r>
        <w:t xml:space="preserve">The strength of external influences (e.g. patient factors) does not unduly impact the LHN’s ability to avoid the HAC. </w:t>
      </w:r>
    </w:p>
    <w:p w14:paraId="542E3844" w14:textId="77777777" w:rsidR="00212477" w:rsidRDefault="00212477" w:rsidP="00212477">
      <w:pPr>
        <w:pStyle w:val="Normalnumbered"/>
        <w:numPr>
          <w:ilvl w:val="2"/>
          <w:numId w:val="1"/>
        </w:numPr>
      </w:pPr>
      <w:r>
        <w:t xml:space="preserve">There is sufficient evidence to inform / instruct health services on how to avoid the HAC. </w:t>
      </w:r>
    </w:p>
    <w:p w14:paraId="542E3845" w14:textId="77777777" w:rsidR="00212477" w:rsidRDefault="00212477" w:rsidP="00427E40">
      <w:pPr>
        <w:pStyle w:val="Normalnumbered"/>
        <w:numPr>
          <w:ilvl w:val="2"/>
          <w:numId w:val="34"/>
        </w:numPr>
      </w:pPr>
      <w:r>
        <w:t>The development of the HAC measure has been subjected to valid construction. The inferences used to test the HAC have been made on the basis of appropriate measurements and occurrences can be easily defined, identified and adequately measured.</w:t>
      </w:r>
    </w:p>
    <w:p w14:paraId="542E3846" w14:textId="77777777" w:rsidR="00212477" w:rsidRDefault="00212477" w:rsidP="00427E40">
      <w:pPr>
        <w:pStyle w:val="Normalnumbered"/>
        <w:numPr>
          <w:ilvl w:val="1"/>
          <w:numId w:val="34"/>
        </w:numPr>
      </w:pPr>
      <w:r>
        <w:t>Impact:</w:t>
      </w:r>
    </w:p>
    <w:p w14:paraId="542E3847" w14:textId="77777777" w:rsidR="00212477" w:rsidRDefault="00212477" w:rsidP="00427E40">
      <w:pPr>
        <w:pStyle w:val="Normalnumbered"/>
        <w:numPr>
          <w:ilvl w:val="2"/>
          <w:numId w:val="34"/>
        </w:numPr>
      </w:pPr>
      <w:r>
        <w:t xml:space="preserve">The introduction of the financial adjustments related to specific </w:t>
      </w:r>
      <w:r w:rsidR="00784DA7">
        <w:t>HAC</w:t>
      </w:r>
      <w:r>
        <w:t xml:space="preserve"> will result in a significant enough change to funding at the hospital level to drive the intended clinical practice outcome, impact appropriately on patients and improve patient outcomes.</w:t>
      </w:r>
    </w:p>
    <w:p w14:paraId="542E3848" w14:textId="77777777" w:rsidR="00212477" w:rsidRDefault="00212477" w:rsidP="00427E40">
      <w:pPr>
        <w:pStyle w:val="Normalnumbered"/>
        <w:numPr>
          <w:ilvl w:val="2"/>
          <w:numId w:val="34"/>
        </w:numPr>
      </w:pPr>
      <w:r>
        <w:t xml:space="preserve">Unintended consequences as a result of practice or reporting changes are not likely to be to the detriment of individual and hospital-wide patient care.  </w:t>
      </w:r>
    </w:p>
    <w:p w14:paraId="542E3849" w14:textId="77777777" w:rsidR="00212477" w:rsidRDefault="00212477" w:rsidP="00427E40">
      <w:pPr>
        <w:pStyle w:val="Normalnumbered"/>
        <w:numPr>
          <w:ilvl w:val="2"/>
          <w:numId w:val="34"/>
        </w:numPr>
      </w:pPr>
      <w:r>
        <w:t>The rate of HAC by LHN (giving consideration to size and type of hospital) is sufficient to warrant introduction of a financial mechanism.</w:t>
      </w:r>
    </w:p>
    <w:p w14:paraId="542E384A" w14:textId="77777777" w:rsidR="00212477" w:rsidRDefault="00212477" w:rsidP="00427E40">
      <w:pPr>
        <w:pStyle w:val="Normalnumbered"/>
        <w:numPr>
          <w:ilvl w:val="1"/>
          <w:numId w:val="34"/>
        </w:numPr>
      </w:pPr>
      <w:r>
        <w:t>Feasibility:</w:t>
      </w:r>
    </w:p>
    <w:p w14:paraId="542E384B" w14:textId="77777777" w:rsidR="00212477" w:rsidRDefault="00212477" w:rsidP="00427E40">
      <w:pPr>
        <w:pStyle w:val="Normalnumbered"/>
        <w:numPr>
          <w:ilvl w:val="2"/>
          <w:numId w:val="34"/>
        </w:numPr>
      </w:pPr>
      <w:r>
        <w:t>Reporting mechanisms are sufficiently robust to ensure that any benefit obtained through under reporting is minimised.</w:t>
      </w:r>
    </w:p>
    <w:p w14:paraId="542E384C" w14:textId="77777777" w:rsidR="00212477" w:rsidRDefault="00212477" w:rsidP="00427E40">
      <w:pPr>
        <w:pStyle w:val="Normalnumbered"/>
        <w:numPr>
          <w:ilvl w:val="2"/>
          <w:numId w:val="34"/>
        </w:numPr>
      </w:pPr>
      <w:r>
        <w:t>Sufficient information is available to other bodies, such as the National Health Funding Body, to monitor the impact of the financial mechanism on the prevalence of the HAC across the system.</w:t>
      </w:r>
    </w:p>
    <w:p w14:paraId="542E384D" w14:textId="77777777" w:rsidR="00212477" w:rsidRDefault="00212477" w:rsidP="00427E40">
      <w:pPr>
        <w:pStyle w:val="Normalnumbered"/>
        <w:numPr>
          <w:ilvl w:val="2"/>
          <w:numId w:val="34"/>
        </w:numPr>
      </w:pPr>
      <w:r>
        <w:lastRenderedPageBreak/>
        <w:t>Sufficient processes, systems, policies, feedback mechanisms and data collections are in place to support the reduction of the HAC across each LHN.</w:t>
      </w:r>
    </w:p>
    <w:p w14:paraId="542E384E" w14:textId="77777777" w:rsidR="00212477" w:rsidRDefault="00212477" w:rsidP="00427E40">
      <w:pPr>
        <w:pStyle w:val="Normalnumbered"/>
        <w:numPr>
          <w:ilvl w:val="2"/>
          <w:numId w:val="34"/>
        </w:numPr>
      </w:pPr>
      <w:r>
        <w:t>The introduction of the HAC is prioritised to obtain maximum benefit.</w:t>
      </w:r>
    </w:p>
    <w:p w14:paraId="542E384F" w14:textId="77777777" w:rsidR="00212477" w:rsidRDefault="00212477" w:rsidP="00427E40">
      <w:pPr>
        <w:pStyle w:val="Normalnumbered"/>
        <w:numPr>
          <w:ilvl w:val="1"/>
          <w:numId w:val="34"/>
        </w:numPr>
      </w:pPr>
      <w:r>
        <w:t>Equity:</w:t>
      </w:r>
    </w:p>
    <w:p w14:paraId="542E3850" w14:textId="77777777" w:rsidR="00212477" w:rsidRPr="00F855D6" w:rsidRDefault="00212477" w:rsidP="00427E40">
      <w:pPr>
        <w:pStyle w:val="Normalnumbered"/>
        <w:numPr>
          <w:ilvl w:val="2"/>
          <w:numId w:val="34"/>
        </w:numPr>
      </w:pPr>
      <w:r w:rsidRPr="00D0347F">
        <w:t>The application of pricing and funding adjustment does not unfairly impact any one, or group, of providers as a result of characteristics beyond their control (e.g. size, location and type of hospital).</w:t>
      </w:r>
    </w:p>
    <w:p w14:paraId="542E3851" w14:textId="77777777" w:rsidR="00212477" w:rsidRPr="002906D5" w:rsidRDefault="00212477" w:rsidP="00212477">
      <w:pPr>
        <w:spacing w:after="120"/>
        <w:outlineLvl w:val="2"/>
        <w:rPr>
          <w:rFonts w:ascii="Calibri" w:hAnsi="Calibri"/>
          <w:i/>
          <w:szCs w:val="24"/>
          <w:lang w:eastAsia="en-AU"/>
        </w:rPr>
      </w:pPr>
      <w:r w:rsidRPr="002906D5">
        <w:rPr>
          <w:rFonts w:ascii="Corbel" w:hAnsi="Corbel"/>
          <w:i/>
          <w:color w:val="3D4B67"/>
          <w:szCs w:val="48"/>
          <w:lang w:eastAsia="ja-JP"/>
        </w:rPr>
        <w:t xml:space="preserve">Avoidable </w:t>
      </w:r>
      <w:r w:rsidR="000476BC">
        <w:rPr>
          <w:rFonts w:ascii="Corbel" w:hAnsi="Corbel"/>
          <w:i/>
          <w:color w:val="3D4B67"/>
          <w:szCs w:val="48"/>
          <w:lang w:eastAsia="ja-JP"/>
        </w:rPr>
        <w:t>H</w:t>
      </w:r>
      <w:r w:rsidR="000476BC" w:rsidRPr="002906D5">
        <w:rPr>
          <w:rFonts w:ascii="Corbel" w:hAnsi="Corbel"/>
          <w:i/>
          <w:color w:val="3D4B67"/>
          <w:szCs w:val="48"/>
          <w:lang w:eastAsia="ja-JP"/>
        </w:rPr>
        <w:t xml:space="preserve">ospital </w:t>
      </w:r>
      <w:r w:rsidR="000476BC">
        <w:rPr>
          <w:rFonts w:ascii="Corbel" w:hAnsi="Corbel"/>
          <w:i/>
          <w:color w:val="3D4B67"/>
          <w:szCs w:val="48"/>
          <w:lang w:eastAsia="ja-JP"/>
        </w:rPr>
        <w:t>R</w:t>
      </w:r>
      <w:r w:rsidR="000476BC" w:rsidRPr="002906D5">
        <w:rPr>
          <w:rFonts w:ascii="Corbel" w:hAnsi="Corbel"/>
          <w:i/>
          <w:color w:val="3D4B67"/>
          <w:szCs w:val="48"/>
          <w:lang w:eastAsia="ja-JP"/>
        </w:rPr>
        <w:t>eadmissions</w:t>
      </w:r>
    </w:p>
    <w:p w14:paraId="542E3852" w14:textId="77777777" w:rsidR="00212477" w:rsidRDefault="00212477" w:rsidP="00427E40">
      <w:pPr>
        <w:pStyle w:val="Normalnumbered"/>
        <w:numPr>
          <w:ilvl w:val="0"/>
          <w:numId w:val="1"/>
        </w:numPr>
      </w:pPr>
      <w:r>
        <w:t xml:space="preserve">The Parties recognise that there is variation in the way </w:t>
      </w:r>
      <w:r w:rsidR="00784DA7">
        <w:t xml:space="preserve">States </w:t>
      </w:r>
      <w:r>
        <w:t xml:space="preserve">currently define </w:t>
      </w:r>
      <w:r w:rsidR="000476BC">
        <w:t>Avoidable Hospital Readmissions</w:t>
      </w:r>
      <w:r>
        <w:t>, presenting challenges to the immediate development of a pricing and funding model.</w:t>
      </w:r>
    </w:p>
    <w:p w14:paraId="542E3853" w14:textId="77777777" w:rsidR="00212477" w:rsidRDefault="00212477" w:rsidP="00427E40">
      <w:pPr>
        <w:pStyle w:val="Normalnumbered"/>
        <w:numPr>
          <w:ilvl w:val="0"/>
          <w:numId w:val="1"/>
        </w:numPr>
      </w:pPr>
      <w:r w:rsidRPr="00B87BFD">
        <w:t xml:space="preserve">The </w:t>
      </w:r>
      <w:r w:rsidR="00784DA7">
        <w:t>ACSQHC</w:t>
      </w:r>
      <w:r w:rsidRPr="00B87BFD">
        <w:t xml:space="preserve"> will develop</w:t>
      </w:r>
      <w:r>
        <w:t xml:space="preserve"> </w:t>
      </w:r>
      <w:r w:rsidRPr="00B87BFD">
        <w:t xml:space="preserve">a list of clinical conditions that arise from complications of the management of the original condition, </w:t>
      </w:r>
      <w:r w:rsidR="00784DA7">
        <w:t>which</w:t>
      </w:r>
      <w:r w:rsidR="00784DA7" w:rsidRPr="00B87BFD">
        <w:t xml:space="preserve"> </w:t>
      </w:r>
      <w:r w:rsidRPr="00B87BFD">
        <w:t xml:space="preserve">can be considered </w:t>
      </w:r>
      <w:r w:rsidR="000476BC">
        <w:t>Avoidable Hospital Readmissions</w:t>
      </w:r>
      <w:r w:rsidRPr="00B87BFD">
        <w:t>, including identifying suitable condition-specific timeframes for each of the identified conditions.</w:t>
      </w:r>
    </w:p>
    <w:p w14:paraId="542E3854" w14:textId="77777777" w:rsidR="00212477" w:rsidRDefault="00212477" w:rsidP="00427E40">
      <w:pPr>
        <w:pStyle w:val="Normalnumbered"/>
        <w:numPr>
          <w:ilvl w:val="0"/>
          <w:numId w:val="1"/>
        </w:numPr>
      </w:pPr>
      <w:r>
        <w:t>The Parties agree to work in conjunction with the ACSQHC and IHPA to provide advice to COAG Health Council by November 2017 on:</w:t>
      </w:r>
    </w:p>
    <w:p w14:paraId="542E3855" w14:textId="77777777" w:rsidR="00212477" w:rsidRPr="00F73661" w:rsidRDefault="00212477" w:rsidP="00222B47">
      <w:pPr>
        <w:pStyle w:val="Normalnumbered"/>
        <w:numPr>
          <w:ilvl w:val="1"/>
          <w:numId w:val="36"/>
        </w:numPr>
      </w:pPr>
      <w:r>
        <w:t xml:space="preserve">a nationally consistent definition for </w:t>
      </w:r>
      <w:r w:rsidR="000476BC">
        <w:t>Avoidable Hospital Readmissions</w:t>
      </w:r>
      <w:r>
        <w:t>; and</w:t>
      </w:r>
    </w:p>
    <w:p w14:paraId="542E3856" w14:textId="77777777" w:rsidR="00212477" w:rsidRDefault="00212477" w:rsidP="00222B47">
      <w:pPr>
        <w:pStyle w:val="Normalnumbered"/>
        <w:numPr>
          <w:ilvl w:val="1"/>
          <w:numId w:val="36"/>
        </w:numPr>
      </w:pPr>
      <w:r>
        <w:t>refining the risk adjustment methodology and undertaking a peer review process in 2017 to ensure the methodology is fit for purpose.</w:t>
      </w:r>
    </w:p>
    <w:p w14:paraId="542E3857" w14:textId="77777777" w:rsidR="00212477" w:rsidRPr="0057539D" w:rsidRDefault="00212477" w:rsidP="00427E40">
      <w:pPr>
        <w:pStyle w:val="Normalnumbered"/>
        <w:numPr>
          <w:ilvl w:val="0"/>
          <w:numId w:val="1"/>
        </w:numPr>
      </w:pPr>
      <w:r>
        <w:t xml:space="preserve">The Parties agree that the further work </w:t>
      </w:r>
      <w:r w:rsidRPr="0057539D">
        <w:t>outlined in Clauses I</w:t>
      </w:r>
      <w:r w:rsidR="0057539D" w:rsidRPr="0057539D">
        <w:t>71</w:t>
      </w:r>
      <w:r w:rsidRPr="0057539D">
        <w:t xml:space="preserve"> and I</w:t>
      </w:r>
      <w:r w:rsidR="00DF0977" w:rsidRPr="0057539D">
        <w:t>7</w:t>
      </w:r>
      <w:r w:rsidR="0057539D" w:rsidRPr="0057539D">
        <w:t>2</w:t>
      </w:r>
      <w:r w:rsidRPr="0057539D">
        <w:t xml:space="preserve"> is required before a pricing or funding model can be agreed.</w:t>
      </w:r>
    </w:p>
    <w:p w14:paraId="542E3858" w14:textId="77777777" w:rsidR="00631D4B" w:rsidRPr="0057539D" w:rsidRDefault="00212477" w:rsidP="00631D4B">
      <w:pPr>
        <w:pStyle w:val="Normalnumbered"/>
        <w:numPr>
          <w:ilvl w:val="0"/>
          <w:numId w:val="1"/>
        </w:numPr>
      </w:pPr>
      <w:r w:rsidRPr="0057539D">
        <w:t xml:space="preserve">The Parties agree to determine an appropriate model for </w:t>
      </w:r>
      <w:r w:rsidR="000476BC" w:rsidRPr="0057539D">
        <w:t>Avoidable Hospital Readmissions</w:t>
      </w:r>
      <w:r w:rsidR="000476BC" w:rsidRPr="0057539D" w:rsidDel="000476BC">
        <w:t xml:space="preserve"> </w:t>
      </w:r>
      <w:r w:rsidRPr="0057539D">
        <w:t>for implementation not before 1 July 2018, taking into account advice to COAG Health Council.</w:t>
      </w:r>
      <w:r w:rsidR="00631D4B" w:rsidRPr="0057539D">
        <w:rPr>
          <w:rFonts w:ascii="Corbel" w:hAnsi="Corbel"/>
          <w:i/>
          <w:color w:val="3D4B67"/>
          <w:szCs w:val="48"/>
          <w:lang w:eastAsia="ja-JP"/>
        </w:rPr>
        <w:br w:type="page"/>
      </w:r>
    </w:p>
    <w:p w14:paraId="542E3859" w14:textId="77777777" w:rsidR="00212477" w:rsidRPr="0057539D" w:rsidRDefault="00212477" w:rsidP="00212477">
      <w:pPr>
        <w:spacing w:after="120"/>
        <w:outlineLvl w:val="2"/>
        <w:rPr>
          <w:rFonts w:ascii="Corbel" w:hAnsi="Corbel"/>
          <w:i/>
          <w:color w:val="3D4B67"/>
          <w:szCs w:val="48"/>
          <w:lang w:eastAsia="ja-JP"/>
        </w:rPr>
      </w:pPr>
      <w:r w:rsidRPr="0057539D">
        <w:rPr>
          <w:rFonts w:ascii="Corbel" w:hAnsi="Corbel"/>
          <w:i/>
          <w:color w:val="3D4B67"/>
          <w:szCs w:val="48"/>
          <w:lang w:eastAsia="ja-JP"/>
        </w:rPr>
        <w:lastRenderedPageBreak/>
        <w:t>Evaluation</w:t>
      </w:r>
    </w:p>
    <w:p w14:paraId="542E385A" w14:textId="77777777" w:rsidR="00212477" w:rsidRDefault="00212477" w:rsidP="00427E40">
      <w:pPr>
        <w:pStyle w:val="Normalnumbered"/>
        <w:numPr>
          <w:ilvl w:val="0"/>
          <w:numId w:val="1"/>
        </w:numPr>
      </w:pPr>
      <w:r w:rsidRPr="0057539D">
        <w:t>The Parties agree that IHPA will provide advice to COAG Health Council by December</w:t>
      </w:r>
      <w:r w:rsidR="00DF0977" w:rsidRPr="0057539D">
        <w:t> </w:t>
      </w:r>
      <w:r w:rsidRPr="0057539D">
        <w:t xml:space="preserve">2018 evaluating these reforms against the principles outlined at </w:t>
      </w:r>
      <w:r w:rsidR="00DF0977" w:rsidRPr="0057539D">
        <w:t>Clause </w:t>
      </w:r>
      <w:r w:rsidR="0057539D" w:rsidRPr="0057539D">
        <w:t>I69</w:t>
      </w:r>
      <w:r w:rsidRPr="0057539D">
        <w:t>, to support COAG consideration of a longer-term funding agreement from 1 July 2020</w:t>
      </w:r>
      <w:r>
        <w:t xml:space="preserve">. </w:t>
      </w:r>
    </w:p>
    <w:p w14:paraId="542E385B" w14:textId="77777777" w:rsidR="00212477" w:rsidRPr="002906D5" w:rsidRDefault="00212477" w:rsidP="00427E40">
      <w:pPr>
        <w:pStyle w:val="Normalnumbered"/>
        <w:numPr>
          <w:ilvl w:val="0"/>
          <w:numId w:val="1"/>
        </w:numPr>
      </w:pPr>
      <w:r>
        <w:t>IHPA will work with the</w:t>
      </w:r>
      <w:r w:rsidRPr="002906D5">
        <w:t xml:space="preserve"> Parties</w:t>
      </w:r>
      <w:r w:rsidR="005453BB">
        <w:t>,</w:t>
      </w:r>
      <w:r w:rsidR="000431A2">
        <w:t xml:space="preserve"> national bodies</w:t>
      </w:r>
      <w:r w:rsidR="005453BB">
        <w:t xml:space="preserve"> and other related stakeholders</w:t>
      </w:r>
      <w:r w:rsidR="000431A2">
        <w:t xml:space="preserve"> </w:t>
      </w:r>
      <w:r w:rsidRPr="002906D5">
        <w:t>to establish a  framework</w:t>
      </w:r>
      <w:r w:rsidR="000431A2">
        <w:t xml:space="preserve"> to </w:t>
      </w:r>
      <w:r>
        <w:t>evaluat</w:t>
      </w:r>
      <w:r w:rsidR="000431A2">
        <w:t>e</w:t>
      </w:r>
      <w:r>
        <w:t xml:space="preserve"> </w:t>
      </w:r>
      <w:r w:rsidR="000431A2">
        <w:t xml:space="preserve">the </w:t>
      </w:r>
      <w:r>
        <w:t xml:space="preserve">reforms against </w:t>
      </w:r>
      <w:r w:rsidRPr="002906D5">
        <w:t xml:space="preserve">the following principles: </w:t>
      </w:r>
    </w:p>
    <w:p w14:paraId="542E385C" w14:textId="77777777" w:rsidR="00212477" w:rsidRPr="002906D5" w:rsidRDefault="00212477" w:rsidP="00427E40">
      <w:pPr>
        <w:pStyle w:val="Normalnumbered"/>
        <w:numPr>
          <w:ilvl w:val="1"/>
          <w:numId w:val="1"/>
        </w:numPr>
      </w:pPr>
      <w:r>
        <w:t>R</w:t>
      </w:r>
      <w:r w:rsidRPr="002906D5">
        <w:t xml:space="preserve">eforms </w:t>
      </w:r>
      <w:r>
        <w:t>are</w:t>
      </w:r>
      <w:r w:rsidRPr="002906D5">
        <w:t xml:space="preserve"> evidence based and prioritise patient outcomes:</w:t>
      </w:r>
    </w:p>
    <w:p w14:paraId="542E385D" w14:textId="77777777" w:rsidR="00212477" w:rsidRPr="002906D5" w:rsidRDefault="00212477" w:rsidP="00427E40">
      <w:pPr>
        <w:pStyle w:val="Normalnumbered"/>
        <w:numPr>
          <w:ilvl w:val="2"/>
          <w:numId w:val="1"/>
        </w:numPr>
      </w:pPr>
      <w:r w:rsidRPr="002906D5">
        <w:t>Better patient health outcomes underpin the design and implementation of reform</w:t>
      </w:r>
    </w:p>
    <w:p w14:paraId="542E385E" w14:textId="77777777" w:rsidR="00212477" w:rsidRPr="002906D5" w:rsidRDefault="00212477" w:rsidP="00427E40">
      <w:pPr>
        <w:pStyle w:val="Normalnumbered"/>
        <w:numPr>
          <w:ilvl w:val="2"/>
          <w:numId w:val="1"/>
        </w:numPr>
      </w:pPr>
      <w:r w:rsidRPr="002906D5">
        <w:t xml:space="preserve">The design and implementation of pricing and funding models for safety and quality, and reducing avoidable readmissions, are based on robust evidence </w:t>
      </w:r>
    </w:p>
    <w:p w14:paraId="542E385F" w14:textId="77777777" w:rsidR="00212477" w:rsidRPr="002906D5" w:rsidRDefault="00212477" w:rsidP="00427E40">
      <w:pPr>
        <w:pStyle w:val="Normalnumbered"/>
        <w:numPr>
          <w:ilvl w:val="2"/>
          <w:numId w:val="1"/>
        </w:numPr>
      </w:pPr>
      <w:r w:rsidRPr="002906D5">
        <w:t>Adjustments are based on evidence of a causal link to the condition or complication, and are commensurate with the additional care required as a result of the complication</w:t>
      </w:r>
    </w:p>
    <w:p w14:paraId="542E3860" w14:textId="77777777" w:rsidR="00212477" w:rsidRPr="002906D5" w:rsidRDefault="00212477" w:rsidP="00427E40">
      <w:pPr>
        <w:pStyle w:val="Normalnumbered"/>
        <w:numPr>
          <w:ilvl w:val="2"/>
          <w:numId w:val="1"/>
        </w:numPr>
      </w:pPr>
      <w:r w:rsidRPr="002906D5">
        <w:t>Adjustments relate to conditions or complications which clinicians and other health professionals are reasonably able to take action to reduce their incidence or impact</w:t>
      </w:r>
    </w:p>
    <w:p w14:paraId="542E3861" w14:textId="77777777" w:rsidR="00212477" w:rsidRPr="002906D5" w:rsidRDefault="00212477" w:rsidP="00427E40">
      <w:pPr>
        <w:pStyle w:val="Normalnumbered"/>
        <w:numPr>
          <w:ilvl w:val="2"/>
          <w:numId w:val="1"/>
        </w:numPr>
      </w:pPr>
      <w:r>
        <w:t>Pricing and funding m</w:t>
      </w:r>
      <w:r w:rsidRPr="002906D5">
        <w:t>odels add to the evidence base for strategies to address safety and quality, with robust monitoring of the effectiveness of implementation and ultimately, their impact on patient outcomes.</w:t>
      </w:r>
    </w:p>
    <w:p w14:paraId="542E3862" w14:textId="77777777" w:rsidR="00212477" w:rsidRPr="002906D5" w:rsidRDefault="00212477" w:rsidP="00427E40">
      <w:pPr>
        <w:pStyle w:val="Normalnumbered"/>
        <w:numPr>
          <w:ilvl w:val="1"/>
          <w:numId w:val="1"/>
        </w:numPr>
      </w:pPr>
      <w:r>
        <w:t>Reforms are c</w:t>
      </w:r>
      <w:r w:rsidRPr="002906D5">
        <w:t>onsistent with whole-of-system efforts to deliver improved patient health outcomes:</w:t>
      </w:r>
    </w:p>
    <w:p w14:paraId="542E3863" w14:textId="77777777" w:rsidR="00212477" w:rsidRPr="002906D5" w:rsidRDefault="00212477" w:rsidP="00427E40">
      <w:pPr>
        <w:pStyle w:val="Normalnumbered"/>
        <w:numPr>
          <w:ilvl w:val="2"/>
          <w:numId w:val="1"/>
        </w:numPr>
      </w:pPr>
      <w:r w:rsidRPr="002906D5">
        <w:t xml:space="preserve">Adjustments complement existing national and state measures to improve patient health outcomes and reduce avoidable hospital demand, including but not limited to the </w:t>
      </w:r>
      <w:r w:rsidR="001D55C1">
        <w:t>ACSQHC’s</w:t>
      </w:r>
      <w:r w:rsidRPr="002906D5">
        <w:t xml:space="preserve"> goals, national benchmarking, data reporting, and accreditation</w:t>
      </w:r>
      <w:r>
        <w:t>.</w:t>
      </w:r>
    </w:p>
    <w:p w14:paraId="542E3864" w14:textId="77777777" w:rsidR="00212477" w:rsidRPr="002906D5" w:rsidRDefault="00212477" w:rsidP="00427E40">
      <w:pPr>
        <w:pStyle w:val="Normalnumbered"/>
        <w:numPr>
          <w:ilvl w:val="2"/>
          <w:numId w:val="1"/>
        </w:numPr>
      </w:pPr>
      <w:r w:rsidRPr="002906D5">
        <w:t>The design and implementation of pricing and funding models acknowledge that mechanisms other than pricing and funding have a role in achieving the reform intention and that complementarity of all mechanisms is desirable.</w:t>
      </w:r>
    </w:p>
    <w:p w14:paraId="542E3865" w14:textId="77777777" w:rsidR="00212477" w:rsidRPr="002906D5" w:rsidRDefault="00212477" w:rsidP="00427E40">
      <w:pPr>
        <w:pStyle w:val="Normalnumbered"/>
        <w:numPr>
          <w:ilvl w:val="2"/>
          <w:numId w:val="1"/>
        </w:numPr>
      </w:pPr>
      <w:r w:rsidRPr="002906D5">
        <w:t>The design and implementation of pricing and funding models should not compromise</w:t>
      </w:r>
      <w:r w:rsidR="00F365C2">
        <w:t xml:space="preserve"> </w:t>
      </w:r>
      <w:r w:rsidR="001D55C1">
        <w:t>S</w:t>
      </w:r>
      <w:r w:rsidR="001D55C1" w:rsidRPr="002906D5">
        <w:t>tate</w:t>
      </w:r>
      <w:r w:rsidR="00F365C2">
        <w:t xml:space="preserve"> </w:t>
      </w:r>
      <w:r w:rsidRPr="002906D5">
        <w:t>system</w:t>
      </w:r>
      <w:r w:rsidR="00F365C2">
        <w:t xml:space="preserve"> </w:t>
      </w:r>
      <w:r w:rsidRPr="002906D5">
        <w:t>financial</w:t>
      </w:r>
      <w:r w:rsidR="00F365C2">
        <w:t xml:space="preserve"> </w:t>
      </w:r>
      <w:r w:rsidRPr="002906D5">
        <w:t>sustainability</w:t>
      </w:r>
      <w:r w:rsidR="00F365C2">
        <w:t xml:space="preserve"> </w:t>
      </w:r>
      <w:r w:rsidRPr="002906D5">
        <w:t>and quality and should therefore be focused on system level performance improvement.</w:t>
      </w:r>
    </w:p>
    <w:p w14:paraId="542E3866" w14:textId="77777777" w:rsidR="00212477" w:rsidRPr="002906D5" w:rsidRDefault="00212477" w:rsidP="00427E40">
      <w:pPr>
        <w:pStyle w:val="Normalnumbered"/>
        <w:numPr>
          <w:ilvl w:val="1"/>
          <w:numId w:val="1"/>
        </w:numPr>
      </w:pPr>
      <w:r>
        <w:t>Reforms are t</w:t>
      </w:r>
      <w:r w:rsidRPr="002906D5">
        <w:t>ransparen</w:t>
      </w:r>
      <w:r>
        <w:t>t</w:t>
      </w:r>
      <w:r w:rsidRPr="002906D5">
        <w:t xml:space="preserve"> and </w:t>
      </w:r>
      <w:r>
        <w:t>c</w:t>
      </w:r>
      <w:r w:rsidRPr="002906D5">
        <w:t>omparab</w:t>
      </w:r>
      <w:r>
        <w:t>le</w:t>
      </w:r>
      <w:r w:rsidR="000476BC">
        <w:t>:</w:t>
      </w:r>
    </w:p>
    <w:p w14:paraId="542E3867" w14:textId="77777777" w:rsidR="00212477" w:rsidRPr="002906D5" w:rsidRDefault="00212477" w:rsidP="00427E40">
      <w:pPr>
        <w:pStyle w:val="Normalnumbered"/>
        <w:numPr>
          <w:ilvl w:val="2"/>
          <w:numId w:val="1"/>
        </w:numPr>
      </w:pPr>
      <w:r w:rsidRPr="002906D5">
        <w:t>As far as practicable, the financial levers are designed to ensure there is transparency between the approach and the intended outcome</w:t>
      </w:r>
      <w:r w:rsidR="000476BC">
        <w:t>.</w:t>
      </w:r>
    </w:p>
    <w:p w14:paraId="542E3868" w14:textId="77777777" w:rsidR="00212477" w:rsidRPr="002906D5" w:rsidRDefault="00212477" w:rsidP="00427E40">
      <w:pPr>
        <w:pStyle w:val="Normalnumbered"/>
        <w:numPr>
          <w:ilvl w:val="2"/>
          <w:numId w:val="1"/>
        </w:numPr>
      </w:pPr>
      <w:r>
        <w:t>Pricing and funding</w:t>
      </w:r>
      <w:r w:rsidRPr="002906D5">
        <w:t xml:space="preserve"> model</w:t>
      </w:r>
      <w:r>
        <w:t>s</w:t>
      </w:r>
      <w:r w:rsidRPr="002906D5">
        <w:t xml:space="preserve"> use an appropriate risk adjustment methodology to consider different patient complexity levels or specialisation across jurisdictions and hospitals.</w:t>
      </w:r>
    </w:p>
    <w:p w14:paraId="542E3869" w14:textId="77777777" w:rsidR="00212477" w:rsidRPr="0057539D" w:rsidRDefault="00212477" w:rsidP="00427E40">
      <w:pPr>
        <w:pStyle w:val="Normalnumbered"/>
        <w:numPr>
          <w:ilvl w:val="1"/>
          <w:numId w:val="1"/>
        </w:numPr>
      </w:pPr>
      <w:r w:rsidRPr="0057539D">
        <w:lastRenderedPageBreak/>
        <w:t xml:space="preserve">Reforms provide budget certainty </w:t>
      </w:r>
    </w:p>
    <w:p w14:paraId="542E386A" w14:textId="77777777" w:rsidR="00212477" w:rsidRDefault="00212477" w:rsidP="00427E40">
      <w:pPr>
        <w:pStyle w:val="Normalnumbered"/>
        <w:numPr>
          <w:ilvl w:val="2"/>
          <w:numId w:val="1"/>
        </w:numPr>
      </w:pPr>
      <w:r w:rsidRPr="0057539D">
        <w:t>Any downward adjustment to an individual State is not deducted</w:t>
      </w:r>
      <w:r w:rsidRPr="009F26ED">
        <w:t xml:space="preserve"> from the available pool of funding under the overall cap of 6.5</w:t>
      </w:r>
      <w:r>
        <w:t> </w:t>
      </w:r>
      <w:r w:rsidRPr="009F26ED">
        <w:t>pe</w:t>
      </w:r>
      <w:r>
        <w:t>r </w:t>
      </w:r>
      <w:r w:rsidRPr="009F26ED">
        <w:t>cent.</w:t>
      </w:r>
    </w:p>
    <w:p w14:paraId="542E386B" w14:textId="77777777" w:rsidR="00212477" w:rsidRPr="002906D5" w:rsidRDefault="00212477" w:rsidP="00212477">
      <w:pPr>
        <w:spacing w:after="120"/>
        <w:outlineLvl w:val="2"/>
        <w:rPr>
          <w:rFonts w:ascii="Corbel" w:hAnsi="Corbel"/>
          <w:i/>
          <w:color w:val="3D4B67"/>
          <w:szCs w:val="48"/>
          <w:lang w:eastAsia="ja-JP"/>
        </w:rPr>
      </w:pPr>
      <w:r>
        <w:rPr>
          <w:rFonts w:ascii="Corbel" w:hAnsi="Corbel"/>
          <w:i/>
          <w:color w:val="3D4B67"/>
          <w:szCs w:val="48"/>
          <w:lang w:eastAsia="ja-JP"/>
        </w:rPr>
        <w:t>Interaction with the funding cap</w:t>
      </w:r>
    </w:p>
    <w:p w14:paraId="542E386C" w14:textId="77777777" w:rsidR="00E27339" w:rsidRPr="000E4F8D" w:rsidRDefault="00893939" w:rsidP="00427E40">
      <w:pPr>
        <w:pStyle w:val="Normalnumbered"/>
        <w:numPr>
          <w:ilvl w:val="0"/>
          <w:numId w:val="1"/>
        </w:numPr>
      </w:pPr>
      <w:r w:rsidRPr="000E4F8D">
        <w:t xml:space="preserve">Adjustments to Commonwealth funding for </w:t>
      </w:r>
      <w:r w:rsidR="00E27339" w:rsidRPr="000E4F8D">
        <w:t xml:space="preserve">an </w:t>
      </w:r>
      <w:r w:rsidRPr="000E4F8D">
        <w:t xml:space="preserve">individual State resulting from Sentinel Events, HACs and </w:t>
      </w:r>
      <w:r w:rsidR="000476BC">
        <w:t>Avoidable Hospital Readmissions</w:t>
      </w:r>
      <w:r w:rsidR="000476BC" w:rsidRPr="000E4F8D" w:rsidDel="000476BC">
        <w:t xml:space="preserve"> </w:t>
      </w:r>
      <w:r w:rsidRPr="000E4F8D">
        <w:t xml:space="preserve">will be incorporated in the </w:t>
      </w:r>
      <w:r w:rsidR="00E27339" w:rsidRPr="000E4F8D">
        <w:t xml:space="preserve">calculation and </w:t>
      </w:r>
      <w:r w:rsidRPr="000E4F8D">
        <w:t xml:space="preserve">determination of the State’s </w:t>
      </w:r>
      <w:r w:rsidR="00E27339" w:rsidRPr="000E4F8D">
        <w:t>Commonwealth Funding Entitlement. The Commonwealth Funding Entitlement for a given year, incorporating these adjustments, will form the base for the calculation of the State’s soft cap in the following year.</w:t>
      </w:r>
    </w:p>
    <w:p w14:paraId="542E386D" w14:textId="77777777" w:rsidR="00212477" w:rsidRPr="000E4F8D" w:rsidRDefault="00893939" w:rsidP="00427E40">
      <w:pPr>
        <w:pStyle w:val="Normalnumbered"/>
        <w:numPr>
          <w:ilvl w:val="0"/>
          <w:numId w:val="1"/>
        </w:numPr>
      </w:pPr>
      <w:r w:rsidRPr="000E4F8D">
        <w:t>A</w:t>
      </w:r>
      <w:r w:rsidR="00212477" w:rsidRPr="000E4F8D">
        <w:t xml:space="preserve">ny downward adjustment to an individual </w:t>
      </w:r>
      <w:r w:rsidR="001D55C1" w:rsidRPr="000E4F8D">
        <w:t xml:space="preserve">State </w:t>
      </w:r>
      <w:r w:rsidR="00212477" w:rsidRPr="000E4F8D">
        <w:t xml:space="preserve">for </w:t>
      </w:r>
      <w:r w:rsidR="001D55C1" w:rsidRPr="000E4F8D">
        <w:t>Sentinel Events</w:t>
      </w:r>
      <w:r w:rsidRPr="000E4F8D">
        <w:t>,</w:t>
      </w:r>
      <w:r w:rsidR="001D55C1" w:rsidRPr="000E4F8D">
        <w:t xml:space="preserve"> </w:t>
      </w:r>
      <w:r w:rsidR="00212477" w:rsidRPr="000E4F8D">
        <w:t xml:space="preserve">HACs </w:t>
      </w:r>
      <w:r w:rsidR="001D55C1" w:rsidRPr="000E4F8D">
        <w:t xml:space="preserve">and </w:t>
      </w:r>
      <w:r w:rsidR="000476BC">
        <w:t>Avoidable Hospital Readmissions</w:t>
      </w:r>
      <w:r w:rsidR="000476BC" w:rsidRPr="000E4F8D" w:rsidDel="000476BC">
        <w:t xml:space="preserve"> </w:t>
      </w:r>
      <w:r w:rsidR="00212477" w:rsidRPr="000E4F8D">
        <w:t xml:space="preserve">will not be deducted from the total available pool of Commonwealth funding under the </w:t>
      </w:r>
      <w:r w:rsidR="001D55C1" w:rsidRPr="000E4F8D">
        <w:t>National Funding Cap and will be available for Redistribution</w:t>
      </w:r>
      <w:r w:rsidR="00212477" w:rsidRPr="000E4F8D">
        <w:t xml:space="preserve">. </w:t>
      </w:r>
    </w:p>
    <w:p w14:paraId="542E386E" w14:textId="77777777" w:rsidR="0036305E" w:rsidRPr="00EE02B5" w:rsidRDefault="0036305E" w:rsidP="0036305E">
      <w:pPr>
        <w:spacing w:after="120"/>
        <w:rPr>
          <w:rFonts w:ascii="Corbel" w:hAnsi="Corbel"/>
          <w:i/>
          <w:iCs/>
          <w:color w:val="3D4B67"/>
          <w:szCs w:val="24"/>
          <w:lang w:eastAsia="ja-JP"/>
        </w:rPr>
      </w:pPr>
      <w:r w:rsidRPr="00EE02B5">
        <w:rPr>
          <w:rFonts w:ascii="Corbel" w:hAnsi="Corbel"/>
          <w:i/>
          <w:iCs/>
          <w:color w:val="3D4B67"/>
          <w:szCs w:val="24"/>
          <w:lang w:eastAsia="ja-JP"/>
        </w:rPr>
        <w:t>Transparency</w:t>
      </w:r>
    </w:p>
    <w:p w14:paraId="542E386F" w14:textId="77777777" w:rsidR="00212AF4" w:rsidRPr="00EE02B5" w:rsidRDefault="00212AF4" w:rsidP="00631D4B">
      <w:pPr>
        <w:pStyle w:val="Normalnumbered"/>
        <w:numPr>
          <w:ilvl w:val="0"/>
          <w:numId w:val="1"/>
        </w:numPr>
      </w:pPr>
      <w:r w:rsidRPr="00EE02B5">
        <w:t>States agree to implement a pricing approach for sentinel events and safety and quality adjustments, to give effect to the model developed by the IHPA, within their funding and purchasing arrangements (including in Service Level Agreements and Purchasing Agreements) for public hospital services at the episode of care level</w:t>
      </w:r>
      <w:r w:rsidR="00B748B1" w:rsidRPr="00EE02B5">
        <w:t>.</w:t>
      </w:r>
      <w:r w:rsidRPr="00EE02B5">
        <w:t> </w:t>
      </w:r>
    </w:p>
    <w:p w14:paraId="542E3870" w14:textId="77777777" w:rsidR="00212AF4" w:rsidRPr="00481DB8" w:rsidRDefault="00212AF4" w:rsidP="00212AF4">
      <w:pPr>
        <w:pStyle w:val="Normalnumbered"/>
        <w:numPr>
          <w:ilvl w:val="0"/>
          <w:numId w:val="1"/>
        </w:numPr>
      </w:pPr>
      <w:r w:rsidRPr="00EE02B5">
        <w:t>States agree to each provide an annual report to AHMAC, within nine months from the end of the financial year, o</w:t>
      </w:r>
      <w:r w:rsidRPr="00481DB8">
        <w:t>n the outcomes of the implementation of the pricing approach for safety and quality. These reports will include information on: </w:t>
      </w:r>
    </w:p>
    <w:p w14:paraId="542E3871" w14:textId="77777777" w:rsidR="0036305E" w:rsidRPr="00481DB8" w:rsidRDefault="00212AF4" w:rsidP="00212AF4">
      <w:pPr>
        <w:pStyle w:val="Normalnumbered"/>
        <w:numPr>
          <w:ilvl w:val="1"/>
          <w:numId w:val="37"/>
        </w:numPr>
        <w:rPr>
          <w:rFonts w:ascii="Corbel" w:hAnsi="Corbel"/>
          <w:i/>
          <w:szCs w:val="48"/>
          <w:lang w:eastAsia="ja-JP"/>
        </w:rPr>
      </w:pPr>
      <w:r w:rsidRPr="00481DB8">
        <w:t>the financial impacts at the LHN level</w:t>
      </w:r>
      <w:r w:rsidR="00FA57B7" w:rsidRPr="00481DB8">
        <w:t>;</w:t>
      </w:r>
      <w:r w:rsidRPr="00481DB8">
        <w:t xml:space="preserve"> and </w:t>
      </w:r>
    </w:p>
    <w:p w14:paraId="542E3872" w14:textId="77777777" w:rsidR="0036305E" w:rsidRPr="00481DB8" w:rsidRDefault="00212AF4" w:rsidP="0036305E">
      <w:pPr>
        <w:pStyle w:val="Normalnumbered"/>
        <w:numPr>
          <w:ilvl w:val="1"/>
          <w:numId w:val="37"/>
        </w:numPr>
        <w:rPr>
          <w:rFonts w:ascii="Corbel" w:hAnsi="Corbel"/>
          <w:i/>
          <w:szCs w:val="48"/>
          <w:lang w:eastAsia="ja-JP"/>
        </w:rPr>
      </w:pPr>
      <w:r w:rsidRPr="00481DB8">
        <w:t xml:space="preserve">any </w:t>
      </w:r>
      <w:r w:rsidRPr="00481DB8">
        <w:rPr>
          <w:iCs/>
        </w:rPr>
        <w:t>relevant</w:t>
      </w:r>
      <w:r w:rsidRPr="00481DB8">
        <w:t xml:space="preserve"> safety and quality program</w:t>
      </w:r>
      <w:r w:rsidR="008368E7" w:rsidRPr="00481DB8">
        <w:t>me</w:t>
      </w:r>
      <w:r w:rsidRPr="00481DB8">
        <w:t>s</w:t>
      </w:r>
      <w:r w:rsidR="0036305E" w:rsidRPr="00481DB8">
        <w:t>.</w:t>
      </w:r>
    </w:p>
    <w:p w14:paraId="542E3873" w14:textId="77777777" w:rsidR="00212477" w:rsidRPr="002906D5" w:rsidRDefault="00212477" w:rsidP="00212477">
      <w:pPr>
        <w:pStyle w:val="Normalnumbered"/>
        <w:rPr>
          <w:i/>
        </w:rPr>
      </w:pPr>
      <w:r w:rsidRPr="002906D5">
        <w:rPr>
          <w:rFonts w:ascii="Corbel" w:hAnsi="Corbel"/>
          <w:i/>
          <w:color w:val="3D4B67"/>
          <w:szCs w:val="48"/>
          <w:lang w:eastAsia="ja-JP"/>
        </w:rPr>
        <w:t>Roles and responsibilities</w:t>
      </w:r>
      <w:r w:rsidRPr="002906D5">
        <w:rPr>
          <w:i/>
          <w:color w:val="FF0000"/>
        </w:rPr>
        <w:t xml:space="preserve"> </w:t>
      </w:r>
    </w:p>
    <w:p w14:paraId="542E3874" w14:textId="77777777" w:rsidR="00212477" w:rsidRDefault="00212477" w:rsidP="00427E40">
      <w:pPr>
        <w:pStyle w:val="Normalnumbered"/>
        <w:numPr>
          <w:ilvl w:val="0"/>
          <w:numId w:val="1"/>
        </w:numPr>
      </w:pPr>
      <w:r w:rsidRPr="002906D5">
        <w:t>COAG Health Council will oversee the continuing development, implementation and the ongoing refinement of reforms to integrate safety and quality into the pricing and funding of public hospital services</w:t>
      </w:r>
      <w:r>
        <w:t>, including:</w:t>
      </w:r>
    </w:p>
    <w:p w14:paraId="542E3875" w14:textId="77777777" w:rsidR="00212477" w:rsidRDefault="00212477" w:rsidP="00427E40">
      <w:pPr>
        <w:pStyle w:val="Normalnumbered"/>
        <w:numPr>
          <w:ilvl w:val="1"/>
          <w:numId w:val="1"/>
        </w:numPr>
      </w:pPr>
      <w:r>
        <w:t xml:space="preserve">advising </w:t>
      </w:r>
      <w:r w:rsidR="000476BC">
        <w:t>national bodies</w:t>
      </w:r>
      <w:r>
        <w:t xml:space="preserve"> of pricing and funding approaches, including any shadow approaches, for HACs and avoidable readmissions for </w:t>
      </w:r>
      <w:r w:rsidRPr="003E1A53">
        <w:t>implementation from 1 July 2018</w:t>
      </w:r>
      <w:r>
        <w:t>; and</w:t>
      </w:r>
    </w:p>
    <w:p w14:paraId="542E3876" w14:textId="77777777" w:rsidR="00212477" w:rsidRPr="003E1A53" w:rsidRDefault="00212477" w:rsidP="00427E40">
      <w:pPr>
        <w:pStyle w:val="Normalnumbered"/>
        <w:numPr>
          <w:ilvl w:val="1"/>
          <w:numId w:val="1"/>
        </w:numPr>
      </w:pPr>
      <w:r>
        <w:t xml:space="preserve">final approval of the </w:t>
      </w:r>
      <w:r w:rsidR="001D55C1">
        <w:t xml:space="preserve">Sentinel Events </w:t>
      </w:r>
      <w:r>
        <w:t>and HAC lists for funding and pricing purposes.</w:t>
      </w:r>
    </w:p>
    <w:p w14:paraId="542E3877" w14:textId="77777777" w:rsidR="00212477" w:rsidRPr="002906D5" w:rsidRDefault="00212477" w:rsidP="00427E40">
      <w:pPr>
        <w:pStyle w:val="Normalnumbered"/>
        <w:numPr>
          <w:ilvl w:val="0"/>
          <w:numId w:val="1"/>
        </w:numPr>
      </w:pPr>
      <w:r w:rsidRPr="002906D5">
        <w:t xml:space="preserve">States will seek to refine and improve </w:t>
      </w:r>
      <w:r>
        <w:t>public hospital</w:t>
      </w:r>
      <w:r w:rsidRPr="002906D5">
        <w:t xml:space="preserve"> activity monitoring and reporting capability to support the system in making safety and quality improvements. </w:t>
      </w:r>
    </w:p>
    <w:p w14:paraId="542E3878" w14:textId="77777777" w:rsidR="00212477" w:rsidRPr="00D85E3E" w:rsidRDefault="00212477" w:rsidP="00427E40">
      <w:pPr>
        <w:pStyle w:val="Normalnumbered"/>
        <w:numPr>
          <w:ilvl w:val="0"/>
          <w:numId w:val="1"/>
        </w:numPr>
      </w:pPr>
      <w:r w:rsidRPr="00D85E3E">
        <w:t>The Commonwealth will</w:t>
      </w:r>
      <w:r>
        <w:t xml:space="preserve"> work collaboratively with </w:t>
      </w:r>
      <w:r w:rsidR="001D55C1">
        <w:t xml:space="preserve">States </w:t>
      </w:r>
      <w:r>
        <w:t xml:space="preserve">and national </w:t>
      </w:r>
      <w:r w:rsidR="001D55C1">
        <w:t xml:space="preserve">bodies </w:t>
      </w:r>
      <w:r>
        <w:t>to support the introduction of pricing and funding reforms for public hospital services, and advise on how these reforms intersect with private hospital services and primary health care services.</w:t>
      </w:r>
    </w:p>
    <w:p w14:paraId="542E3879" w14:textId="77777777" w:rsidR="00212477" w:rsidRPr="002906D5" w:rsidRDefault="00212477" w:rsidP="00427E40">
      <w:pPr>
        <w:pStyle w:val="Normalnumbered"/>
        <w:numPr>
          <w:ilvl w:val="0"/>
          <w:numId w:val="1"/>
        </w:numPr>
      </w:pPr>
      <w:r>
        <w:lastRenderedPageBreak/>
        <w:t xml:space="preserve">In relation to the safety and quality reforms described in this </w:t>
      </w:r>
      <w:r w:rsidR="00B805DB">
        <w:t xml:space="preserve">Part </w:t>
      </w:r>
      <w:r>
        <w:t>and in addition to its normal functions described in the Agreement, t</w:t>
      </w:r>
      <w:r w:rsidRPr="002906D5">
        <w:t>he IHPA will:</w:t>
      </w:r>
    </w:p>
    <w:p w14:paraId="542E387A" w14:textId="77777777" w:rsidR="00212477" w:rsidRDefault="00212477" w:rsidP="00427E40">
      <w:pPr>
        <w:pStyle w:val="Normalnumbered"/>
        <w:numPr>
          <w:ilvl w:val="1"/>
          <w:numId w:val="1"/>
        </w:numPr>
      </w:pPr>
      <w:r>
        <w:t>implement an approach whereby any episode of care that include</w:t>
      </w:r>
      <w:r w:rsidR="001D55C1">
        <w:t>s</w:t>
      </w:r>
      <w:r>
        <w:t xml:space="preserve"> a </w:t>
      </w:r>
      <w:r w:rsidR="001D55C1">
        <w:t>Sentinel Event</w:t>
      </w:r>
      <w:r>
        <w:t xml:space="preserve">, across all care settings, will not be funded in its entirety; </w:t>
      </w:r>
    </w:p>
    <w:p w14:paraId="542E387B" w14:textId="77777777" w:rsidR="00212477" w:rsidRDefault="00212477" w:rsidP="00427E40">
      <w:pPr>
        <w:pStyle w:val="Normalnumbered"/>
        <w:numPr>
          <w:ilvl w:val="1"/>
          <w:numId w:val="1"/>
        </w:numPr>
      </w:pPr>
      <w:r>
        <w:t xml:space="preserve">shadow implement an approach whereby all </w:t>
      </w:r>
      <w:r w:rsidR="001D55C1">
        <w:t>HACs</w:t>
      </w:r>
      <w:r>
        <w:t xml:space="preserve"> across every </w:t>
      </w:r>
      <w:r w:rsidR="000476BC">
        <w:t xml:space="preserve">public </w:t>
      </w:r>
      <w:r>
        <w:t xml:space="preserve">hospital will have a reduced funding level to reflect the extra cost of a hospital admission with a </w:t>
      </w:r>
      <w:r w:rsidR="001D55C1">
        <w:t>HAC</w:t>
      </w:r>
      <w:r>
        <w:t xml:space="preserve"> and will be risk adjusted; </w:t>
      </w:r>
    </w:p>
    <w:p w14:paraId="542E387C" w14:textId="77777777" w:rsidR="00212477" w:rsidRDefault="00212477" w:rsidP="00427E40">
      <w:pPr>
        <w:pStyle w:val="Normalnumbered"/>
        <w:numPr>
          <w:ilvl w:val="1"/>
          <w:numId w:val="1"/>
        </w:numPr>
      </w:pPr>
      <w:r>
        <w:t xml:space="preserve">Develop a preliminary report assessing the impact of the preferred model on funding, data reporting, clinical information systems, and specific population and peer hospital groups. The preliminary report will be </w:t>
      </w:r>
      <w:r w:rsidR="001D55C1">
        <w:t>subject to public consultation</w:t>
      </w:r>
      <w:r>
        <w:t xml:space="preserve">, with the final report to be submitted to COAG Health Council by </w:t>
      </w:r>
      <w:r w:rsidR="006A50F4">
        <w:t>30 November </w:t>
      </w:r>
      <w:r>
        <w:t>2017, and</w:t>
      </w:r>
    </w:p>
    <w:p w14:paraId="542E387D" w14:textId="77777777" w:rsidR="00212477" w:rsidRPr="002906D5" w:rsidRDefault="00212477" w:rsidP="00427E40">
      <w:pPr>
        <w:pStyle w:val="Normalnumbered"/>
        <w:numPr>
          <w:ilvl w:val="1"/>
          <w:numId w:val="1"/>
        </w:numPr>
      </w:pPr>
      <w:r>
        <w:t xml:space="preserve">Undertake further public consultation on a pricing and funding approach for avoidable hospital readmissions related to a prior </w:t>
      </w:r>
      <w:r w:rsidR="001D55C1">
        <w:t>HAC</w:t>
      </w:r>
      <w:r>
        <w:t xml:space="preserve">, based on a set of definitions developed </w:t>
      </w:r>
      <w:r w:rsidR="001D55C1">
        <w:t xml:space="preserve">by </w:t>
      </w:r>
      <w:r>
        <w:t xml:space="preserve">the </w:t>
      </w:r>
      <w:r w:rsidR="001D55C1">
        <w:t>ACSQHC</w:t>
      </w:r>
      <w:r>
        <w:t>.</w:t>
      </w:r>
    </w:p>
    <w:p w14:paraId="542E387E" w14:textId="77777777" w:rsidR="00212477" w:rsidRPr="002906D5" w:rsidRDefault="00212477" w:rsidP="00427E40">
      <w:pPr>
        <w:pStyle w:val="Normalnumbered"/>
        <w:numPr>
          <w:ilvl w:val="0"/>
          <w:numId w:val="1"/>
        </w:numPr>
      </w:pPr>
      <w:r>
        <w:t xml:space="preserve">In relation to the safety and quality reforms described in this </w:t>
      </w:r>
      <w:r w:rsidR="00B805DB">
        <w:t xml:space="preserve">Part </w:t>
      </w:r>
      <w:r>
        <w:t>and in addition to its normal functions described in the Agreement, t</w:t>
      </w:r>
      <w:r w:rsidRPr="002906D5">
        <w:t>he ACSQHC will:</w:t>
      </w:r>
    </w:p>
    <w:p w14:paraId="542E387F" w14:textId="77777777" w:rsidR="00212477" w:rsidRPr="007602C7" w:rsidRDefault="00212477" w:rsidP="00427E40">
      <w:pPr>
        <w:pStyle w:val="Normalnumbered"/>
        <w:numPr>
          <w:ilvl w:val="1"/>
          <w:numId w:val="1"/>
        </w:numPr>
      </w:pPr>
      <w:r w:rsidRPr="007602C7">
        <w:t>curate the Sentinel Events and HAC lists for the purposes of ensuring they remain robust and relevant for clinical improvement purposes, within its existing governance arrangements and in conjunction with IHPA Technical Advisory Committee advice</w:t>
      </w:r>
      <w:r w:rsidR="00133020">
        <w:t>;</w:t>
      </w:r>
      <w:r w:rsidR="00133020" w:rsidRPr="007602C7">
        <w:t xml:space="preserve"> </w:t>
      </w:r>
    </w:p>
    <w:p w14:paraId="542E3880" w14:textId="77777777" w:rsidR="00212477" w:rsidRPr="007602C7" w:rsidRDefault="00212477" w:rsidP="00427E40">
      <w:pPr>
        <w:pStyle w:val="Normalnumbered"/>
        <w:numPr>
          <w:ilvl w:val="1"/>
          <w:numId w:val="1"/>
        </w:numPr>
      </w:pPr>
      <w:r w:rsidRPr="007602C7">
        <w:t xml:space="preserve">establish a HAC </w:t>
      </w:r>
      <w:r w:rsidR="006A50F4">
        <w:t xml:space="preserve">Curation </w:t>
      </w:r>
      <w:r w:rsidRPr="007602C7">
        <w:t>Clinical Advisory Group (</w:t>
      </w:r>
      <w:r w:rsidR="006A50F4">
        <w:t>HC</w:t>
      </w:r>
      <w:r w:rsidRPr="007602C7">
        <w:t xml:space="preserve">CAG) to </w:t>
      </w:r>
      <w:r w:rsidR="006A50F4">
        <w:t xml:space="preserve">advise on new and existing complications on the HAC list. The HCCAG will have regard to the </w:t>
      </w:r>
      <w:r w:rsidR="006A50F4" w:rsidRPr="002906D5">
        <w:t xml:space="preserve">recommendations of </w:t>
      </w:r>
      <w:r w:rsidR="006A50F4">
        <w:t xml:space="preserve">specialty </w:t>
      </w:r>
      <w:r w:rsidR="006A50F4" w:rsidRPr="002906D5">
        <w:t>Clinical Panels</w:t>
      </w:r>
      <w:r w:rsidR="006A50F4">
        <w:t xml:space="preserve"> established by the ACSQHC</w:t>
      </w:r>
      <w:r w:rsidR="006A50F4" w:rsidRPr="002906D5">
        <w:t xml:space="preserve"> </w:t>
      </w:r>
      <w:r w:rsidR="006A50F4">
        <w:t>where necessary;</w:t>
      </w:r>
      <w:r w:rsidR="006A50F4" w:rsidRPr="007602C7">
        <w:t xml:space="preserve"> </w:t>
      </w:r>
    </w:p>
    <w:p w14:paraId="542E3881" w14:textId="77777777" w:rsidR="00212477" w:rsidRPr="007602C7" w:rsidRDefault="00212477" w:rsidP="00427E40">
      <w:pPr>
        <w:pStyle w:val="Normalnumbered"/>
        <w:numPr>
          <w:ilvl w:val="1"/>
          <w:numId w:val="1"/>
        </w:numPr>
      </w:pPr>
      <w:r w:rsidRPr="007602C7">
        <w:t xml:space="preserve">develop rates of preventability for each HAC to inform a risk adjustment methodology developed by IHPA; </w:t>
      </w:r>
    </w:p>
    <w:p w14:paraId="542E3882" w14:textId="77777777" w:rsidR="00212477" w:rsidRPr="007602C7" w:rsidRDefault="00212477" w:rsidP="00427E40">
      <w:pPr>
        <w:pStyle w:val="Normalnumbered"/>
        <w:numPr>
          <w:ilvl w:val="1"/>
          <w:numId w:val="1"/>
        </w:numPr>
      </w:pPr>
      <w:r w:rsidRPr="007602C7">
        <w:t>lead development of a nationally consistent definition for avoidable hospital readmissions associated with a HAC; and</w:t>
      </w:r>
    </w:p>
    <w:p w14:paraId="542E3883" w14:textId="77777777" w:rsidR="00212477" w:rsidRPr="00B9328B" w:rsidRDefault="00212477" w:rsidP="00427E40">
      <w:pPr>
        <w:pStyle w:val="Normalnumbered"/>
        <w:numPr>
          <w:ilvl w:val="1"/>
          <w:numId w:val="1"/>
        </w:numPr>
        <w:rPr>
          <w:i/>
        </w:rPr>
      </w:pPr>
      <w:r w:rsidRPr="002906D5">
        <w:t>advise on clinician engagement.</w:t>
      </w:r>
    </w:p>
    <w:p w14:paraId="542E3884" w14:textId="77777777" w:rsidR="00212477" w:rsidRPr="000E4F8D" w:rsidRDefault="00212477" w:rsidP="00427E40">
      <w:pPr>
        <w:pStyle w:val="Normalnumbered"/>
        <w:numPr>
          <w:ilvl w:val="0"/>
          <w:numId w:val="1"/>
        </w:numPr>
      </w:pPr>
      <w:r w:rsidRPr="000E4F8D">
        <w:t>The Administrator will:</w:t>
      </w:r>
    </w:p>
    <w:p w14:paraId="542E3885" w14:textId="77777777" w:rsidR="001D55C1" w:rsidRPr="000E4F8D" w:rsidRDefault="00242B6D" w:rsidP="00427E40">
      <w:pPr>
        <w:pStyle w:val="Normalnumbered"/>
        <w:numPr>
          <w:ilvl w:val="1"/>
          <w:numId w:val="1"/>
        </w:numPr>
      </w:pPr>
      <w:r w:rsidRPr="000E4F8D">
        <w:t>calculate</w:t>
      </w:r>
      <w:r w:rsidRPr="000E4F8D" w:rsidDel="00242B6D">
        <w:t xml:space="preserve"> </w:t>
      </w:r>
      <w:r w:rsidR="001D55C1" w:rsidRPr="000E4F8D">
        <w:t>Commonwealth Funding Entitlement of States with reported Sentinel Events, from 1 July 2017;</w:t>
      </w:r>
    </w:p>
    <w:p w14:paraId="542E3886" w14:textId="77777777" w:rsidR="00212477" w:rsidRPr="000E4F8D" w:rsidRDefault="00212477" w:rsidP="00427E40">
      <w:pPr>
        <w:pStyle w:val="Normalnumbered"/>
        <w:numPr>
          <w:ilvl w:val="1"/>
          <w:numId w:val="1"/>
        </w:numPr>
      </w:pPr>
      <w:r w:rsidRPr="000E4F8D">
        <w:t xml:space="preserve">calculate </w:t>
      </w:r>
      <w:r w:rsidR="001D55C1" w:rsidRPr="000E4F8D">
        <w:t xml:space="preserve">Safety </w:t>
      </w:r>
      <w:r w:rsidRPr="000E4F8D">
        <w:t xml:space="preserve">and </w:t>
      </w:r>
      <w:r w:rsidR="001D55C1" w:rsidRPr="000E4F8D">
        <w:t xml:space="preserve">Quality Adjustments to be made </w:t>
      </w:r>
      <w:r w:rsidRPr="000E4F8D">
        <w:t xml:space="preserve">using the </w:t>
      </w:r>
      <w:r w:rsidR="001D55C1" w:rsidRPr="000E4F8D">
        <w:t xml:space="preserve">pricing and funding models nominated for this purpose by the </w:t>
      </w:r>
      <w:r w:rsidR="000476BC">
        <w:t>P</w:t>
      </w:r>
      <w:r w:rsidR="001D55C1" w:rsidRPr="000E4F8D">
        <w:t>arties, from 1 July 2018 or such later date as the Parties nominate;</w:t>
      </w:r>
      <w:r w:rsidR="00133020" w:rsidRPr="000E4F8D">
        <w:t xml:space="preserve"> and</w:t>
      </w:r>
    </w:p>
    <w:p w14:paraId="542E3887" w14:textId="77777777" w:rsidR="00212477" w:rsidRPr="000E4F8D" w:rsidRDefault="00212477" w:rsidP="00427E40">
      <w:pPr>
        <w:pStyle w:val="Normalnumbered"/>
        <w:numPr>
          <w:ilvl w:val="1"/>
          <w:numId w:val="1"/>
        </w:numPr>
      </w:pPr>
      <w:r w:rsidRPr="000E4F8D">
        <w:t xml:space="preserve">advise the Commonwealth Treasurer of </w:t>
      </w:r>
      <w:r w:rsidR="001D55C1" w:rsidRPr="000E4F8D">
        <w:t xml:space="preserve">a) and b) </w:t>
      </w:r>
      <w:r w:rsidRPr="000E4F8D">
        <w:t xml:space="preserve">during </w:t>
      </w:r>
      <w:r w:rsidR="001D55C1" w:rsidRPr="000E4F8D">
        <w:t xml:space="preserve">annual Reconciliation and a) during six monthly Reconciliation. </w:t>
      </w:r>
    </w:p>
    <w:p w14:paraId="542E3888" w14:textId="77777777" w:rsidR="006B021C" w:rsidRPr="006B021C" w:rsidRDefault="00212477" w:rsidP="006B021C">
      <w:pPr>
        <w:pStyle w:val="Normalnumbered"/>
        <w:numPr>
          <w:ilvl w:val="0"/>
          <w:numId w:val="1"/>
        </w:numPr>
      </w:pPr>
      <w:r>
        <w:lastRenderedPageBreak/>
        <w:t xml:space="preserve">National </w:t>
      </w:r>
      <w:r w:rsidR="001D55C1">
        <w:t xml:space="preserve">bodies </w:t>
      </w:r>
      <w:r w:rsidRPr="002906D5">
        <w:t>will regularly engage with the Parties and other relevant stakeholders through existing consultation mechanisms.</w:t>
      </w:r>
    </w:p>
    <w:p w14:paraId="542E3889" w14:textId="77777777" w:rsidR="00212477" w:rsidRPr="009204F1" w:rsidRDefault="00212477" w:rsidP="00212477">
      <w:pPr>
        <w:spacing w:after="120"/>
        <w:outlineLvl w:val="2"/>
        <w:rPr>
          <w:rFonts w:ascii="Corbel" w:hAnsi="Corbel"/>
          <w:color w:val="3D4B67"/>
          <w:sz w:val="28"/>
          <w:szCs w:val="48"/>
          <w:lang w:eastAsia="ja-JP"/>
        </w:rPr>
      </w:pPr>
      <w:r>
        <w:rPr>
          <w:rFonts w:ascii="Corbel" w:hAnsi="Corbel"/>
          <w:color w:val="3D4B67"/>
          <w:sz w:val="28"/>
          <w:szCs w:val="48"/>
          <w:lang w:eastAsia="ja-JP"/>
        </w:rPr>
        <w:t>R</w:t>
      </w:r>
      <w:r w:rsidRPr="009204F1">
        <w:rPr>
          <w:rFonts w:ascii="Corbel" w:hAnsi="Corbel"/>
          <w:color w:val="3D4B67"/>
          <w:sz w:val="28"/>
          <w:szCs w:val="48"/>
          <w:lang w:eastAsia="ja-JP"/>
        </w:rPr>
        <w:t>eforms to primary care to reduce potentially avoidable hospital admissions</w:t>
      </w:r>
    </w:p>
    <w:p w14:paraId="542E388A" w14:textId="77777777" w:rsidR="00212477" w:rsidRDefault="00212477" w:rsidP="00427E40">
      <w:pPr>
        <w:pStyle w:val="Normalnumbered"/>
        <w:numPr>
          <w:ilvl w:val="0"/>
          <w:numId w:val="1"/>
        </w:numPr>
      </w:pPr>
      <w:r>
        <w:t>The Commonwealth will continue to invest in programmes designed to minimise the impact of potentially preventable hospital admission</w:t>
      </w:r>
      <w:r w:rsidR="00133020">
        <w:t xml:space="preserve">s arising from shortcomings in </w:t>
      </w:r>
      <w:r>
        <w:t>areas within its own direct policy control including:</w:t>
      </w:r>
    </w:p>
    <w:p w14:paraId="542E388B" w14:textId="77777777" w:rsidR="00212477" w:rsidRDefault="00212477" w:rsidP="00427E40">
      <w:pPr>
        <w:pStyle w:val="Normalnumbered"/>
        <w:numPr>
          <w:ilvl w:val="1"/>
          <w:numId w:val="1"/>
        </w:numPr>
      </w:pPr>
      <w:r>
        <w:t xml:space="preserve">integrating the planning , co-ordination and commissioning of services at a regional level through </w:t>
      </w:r>
      <w:r w:rsidRPr="00B12E4C">
        <w:t>Primary Health Networks</w:t>
      </w:r>
      <w:r>
        <w:t xml:space="preserve">, with a specific focus on the interface between primary health care, and hospital services; </w:t>
      </w:r>
    </w:p>
    <w:p w14:paraId="542E388C" w14:textId="77777777" w:rsidR="00212477" w:rsidRDefault="00212477" w:rsidP="00427E40">
      <w:pPr>
        <w:pStyle w:val="Normalnumbered"/>
        <w:numPr>
          <w:ilvl w:val="1"/>
          <w:numId w:val="1"/>
        </w:numPr>
      </w:pPr>
      <w:r>
        <w:t xml:space="preserve">investments in national implementation of  co-ordination of  care models for persons with complex , chronic conditions, including Health Care Homes, and flexible funding model to better support persons with severe mental health conditions, consistent with the November 2015 response to the National Mental Health Commission Report - </w:t>
      </w:r>
      <w:r w:rsidRPr="00A9208A">
        <w:rPr>
          <w:i/>
        </w:rPr>
        <w:t>Contributing Lives, Thriving Communities</w:t>
      </w:r>
      <w:r>
        <w:t>;</w:t>
      </w:r>
    </w:p>
    <w:p w14:paraId="542E388D" w14:textId="77777777" w:rsidR="00212477" w:rsidRDefault="00212477" w:rsidP="00427E40">
      <w:pPr>
        <w:pStyle w:val="Normalnumbered"/>
        <w:numPr>
          <w:ilvl w:val="1"/>
          <w:numId w:val="1"/>
        </w:numPr>
      </w:pPr>
      <w:r>
        <w:t xml:space="preserve">accelerating national rollout of My Health Records with legislative change to enable opt out provisions, with ongoing patient safety and efficiency benefits; </w:t>
      </w:r>
    </w:p>
    <w:p w14:paraId="542E388E" w14:textId="77777777" w:rsidR="00212477" w:rsidRDefault="00212477" w:rsidP="00427E40">
      <w:pPr>
        <w:pStyle w:val="Normalnumbered"/>
        <w:numPr>
          <w:ilvl w:val="1"/>
          <w:numId w:val="1"/>
        </w:numPr>
      </w:pPr>
      <w:r>
        <w:t>implementation of the 6th Community Pharmacy Agreement to enhance primary health care management of medications and avoidance of errors; and</w:t>
      </w:r>
    </w:p>
    <w:p w14:paraId="542E388F" w14:textId="77777777" w:rsidR="00212477" w:rsidRDefault="00212477" w:rsidP="00427E40">
      <w:pPr>
        <w:pStyle w:val="Normalnumbered"/>
        <w:numPr>
          <w:ilvl w:val="1"/>
          <w:numId w:val="1"/>
        </w:numPr>
      </w:pPr>
      <w:r>
        <w:t xml:space="preserve">partnering with jurisdictions, where appropriate, in relation to primary health care, for example in remote and Indigenous communities. </w:t>
      </w:r>
    </w:p>
    <w:p w14:paraId="542E3890" w14:textId="77777777" w:rsidR="00212477" w:rsidRPr="008207FF" w:rsidRDefault="00212477" w:rsidP="008207FF">
      <w:pPr>
        <w:pStyle w:val="Heading2"/>
      </w:pPr>
      <w:r w:rsidRPr="008207FF">
        <w:t xml:space="preserve">Miscellaneous arrangements </w:t>
      </w:r>
    </w:p>
    <w:p w14:paraId="542E3891" w14:textId="77777777" w:rsidR="00212477" w:rsidRDefault="00212477" w:rsidP="00427E40">
      <w:pPr>
        <w:pStyle w:val="Normalnumbered"/>
        <w:numPr>
          <w:ilvl w:val="0"/>
          <w:numId w:val="1"/>
        </w:numPr>
      </w:pPr>
      <w:r w:rsidRPr="00B12E4C">
        <w:t>Parties note that</w:t>
      </w:r>
      <w:r>
        <w:t xml:space="preserve"> as of 1 July 2016,</w:t>
      </w:r>
      <w:r w:rsidRPr="00B12E4C">
        <w:t xml:space="preserve"> the </w:t>
      </w:r>
      <w:r>
        <w:t xml:space="preserve">functions of the </w:t>
      </w:r>
      <w:r w:rsidRPr="00B12E4C">
        <w:t>Nationa</w:t>
      </w:r>
      <w:r>
        <w:t xml:space="preserve">l Health Performance Authority have transferred to the </w:t>
      </w:r>
      <w:r w:rsidRPr="00B12E4C">
        <w:t>Australian Institute of Health and Welfare</w:t>
      </w:r>
      <w:r>
        <w:t>,</w:t>
      </w:r>
      <w:r w:rsidRPr="00B12E4C">
        <w:t xml:space="preserve"> the </w:t>
      </w:r>
      <w:r w:rsidRPr="00C6055B">
        <w:rPr>
          <w:color w:val="000000" w:themeColor="text1"/>
        </w:rPr>
        <w:t>ACSQHC</w:t>
      </w:r>
      <w:r w:rsidRPr="00C6055B" w:rsidDel="00C6055B">
        <w:rPr>
          <w:color w:val="000000" w:themeColor="text1"/>
        </w:rPr>
        <w:t xml:space="preserve"> </w:t>
      </w:r>
      <w:r>
        <w:t>and the Commonwealth Department of Health</w:t>
      </w:r>
      <w:r w:rsidRPr="00B12E4C">
        <w:t>.</w:t>
      </w:r>
    </w:p>
    <w:p w14:paraId="542E3892" w14:textId="77777777" w:rsidR="00212477" w:rsidRDefault="00212477" w:rsidP="00427E40">
      <w:pPr>
        <w:pStyle w:val="Normalnumbered"/>
        <w:numPr>
          <w:ilvl w:val="0"/>
          <w:numId w:val="1"/>
        </w:numPr>
      </w:pPr>
      <w:r>
        <w:t xml:space="preserve">Parties note that as of 1 July 2016, the IHPA will comprise an independent board and chief executive officer, supported by officials from the Commonwealth Department of Health operating at the direction of the IHPA Chief Executive Officer. </w:t>
      </w:r>
    </w:p>
    <w:p w14:paraId="542E3893" w14:textId="77777777" w:rsidR="00212477" w:rsidRDefault="00212477" w:rsidP="00427E40">
      <w:pPr>
        <w:pStyle w:val="Normalnumbered"/>
        <w:numPr>
          <w:ilvl w:val="1"/>
          <w:numId w:val="1"/>
        </w:numPr>
      </w:pPr>
      <w:r>
        <w:t>IHPA’s functions, including setting the National Efficient Price and National Efficient Cost, will continue as set out in the Agreement and existing legislation.</w:t>
      </w:r>
    </w:p>
    <w:p w14:paraId="542E3894" w14:textId="77777777" w:rsidR="00212477" w:rsidRPr="00B12E4C" w:rsidRDefault="00212477" w:rsidP="00427E40">
      <w:pPr>
        <w:pStyle w:val="Normalnumbered"/>
        <w:numPr>
          <w:ilvl w:val="1"/>
          <w:numId w:val="1"/>
        </w:numPr>
      </w:pPr>
      <w:r>
        <w:t>The ongoing costs of the IHPA will continue to be met by the Commonwealth.</w:t>
      </w:r>
    </w:p>
    <w:p w14:paraId="542E3895" w14:textId="77777777" w:rsidR="00212477" w:rsidRPr="00B12E4C" w:rsidRDefault="00212477" w:rsidP="00427E40">
      <w:pPr>
        <w:pStyle w:val="Normalnumbered"/>
        <w:numPr>
          <w:ilvl w:val="0"/>
          <w:numId w:val="1"/>
        </w:numPr>
      </w:pPr>
      <w:r w:rsidRPr="00B12E4C">
        <w:t>Parties note that Medicare Locals have been discontinued. The Commonwealth has established Primary Health Networks with the key objectives of increasing the efficiency and effectiveness of medical services for patients, particularly those at risk of poor health outcomes, and improving coordination of care to ensure patients receive the right care in the right place at the right time.</w:t>
      </w:r>
    </w:p>
    <w:p w14:paraId="542E3896" w14:textId="77777777" w:rsidR="00030088" w:rsidRDefault="00212477" w:rsidP="00427E40">
      <w:pPr>
        <w:pStyle w:val="Normalnumbered"/>
        <w:numPr>
          <w:ilvl w:val="0"/>
          <w:numId w:val="1"/>
        </w:numPr>
      </w:pPr>
      <w:r w:rsidRPr="00B12E4C">
        <w:t xml:space="preserve">Parties note that references in the </w:t>
      </w:r>
      <w:r>
        <w:t>Agreement</w:t>
      </w:r>
      <w:r w:rsidRPr="00B12E4C">
        <w:t xml:space="preserve"> to the ‘Standing Council on Health’ will be taken to refer to the COAG Health Council</w:t>
      </w:r>
      <w:r w:rsidR="006A50F4" w:rsidRPr="006A50F4">
        <w:t xml:space="preserve"> </w:t>
      </w:r>
      <w:r w:rsidR="006A50F4">
        <w:t xml:space="preserve">and references to the </w:t>
      </w:r>
      <w:r w:rsidR="00122B48">
        <w:t>‘</w:t>
      </w:r>
      <w:r w:rsidR="006A50F4">
        <w:t>Standing Council on Federal Fiscal Relations</w:t>
      </w:r>
      <w:r w:rsidR="00122B48">
        <w:t>’</w:t>
      </w:r>
      <w:r w:rsidR="006A50F4">
        <w:t xml:space="preserve"> should read as references to the </w:t>
      </w:r>
      <w:r w:rsidR="006A50F4" w:rsidRPr="00DF0639">
        <w:t>COAG Council on Federal Financial Relation</w:t>
      </w:r>
      <w:r w:rsidR="006A50F4">
        <w:t>s</w:t>
      </w:r>
      <w:r w:rsidRPr="00B12E4C">
        <w:t xml:space="preserve">. </w:t>
      </w:r>
    </w:p>
    <w:p w14:paraId="542E3897" w14:textId="77777777" w:rsidR="0048036A" w:rsidRDefault="0048036A">
      <w:pPr>
        <w:spacing w:after="200" w:line="276" w:lineRule="auto"/>
        <w:rPr>
          <w:rFonts w:ascii="Calibri" w:hAnsi="Calibri"/>
          <w:szCs w:val="24"/>
          <w:lang w:eastAsia="en-AU"/>
        </w:rPr>
      </w:pPr>
      <w:r>
        <w:br w:type="page"/>
      </w:r>
    </w:p>
    <w:p w14:paraId="542E3898" w14:textId="77777777" w:rsidR="0048036A" w:rsidRDefault="0048036A" w:rsidP="0048036A">
      <w:pPr>
        <w:pStyle w:val="AlphaParagraph"/>
        <w:tabs>
          <w:tab w:val="clear" w:pos="0"/>
        </w:tabs>
        <w:ind w:left="0" w:firstLine="0"/>
        <w:rPr>
          <w:rFonts w:asciiTheme="minorHAnsi" w:hAnsiTheme="minorHAnsi" w:cstheme="minorHAnsi"/>
          <w:sz w:val="22"/>
        </w:rPr>
      </w:pPr>
      <w:r>
        <w:rPr>
          <w:rFonts w:asciiTheme="minorHAnsi" w:hAnsiTheme="minorHAnsi" w:cstheme="minorHAnsi"/>
          <w:sz w:val="22"/>
          <w:lang w:val="en-GB"/>
        </w:rPr>
        <w:lastRenderedPageBreak/>
        <w:t xml:space="preserve">The </w:t>
      </w:r>
      <w:r>
        <w:rPr>
          <w:rFonts w:asciiTheme="minorHAnsi" w:hAnsiTheme="minorHAnsi" w:cstheme="minorHAnsi"/>
          <w:sz w:val="22"/>
        </w:rPr>
        <w:t>Parties</w:t>
      </w:r>
      <w:r>
        <w:rPr>
          <w:rFonts w:asciiTheme="minorHAnsi" w:hAnsiTheme="minorHAnsi" w:cstheme="minorHAnsi"/>
          <w:sz w:val="22"/>
          <w:lang w:val="en-GB"/>
        </w:rPr>
        <w:t xml:space="preserve"> have confirmed their commitment to this schedule as follows:</w:t>
      </w:r>
    </w:p>
    <w:tbl>
      <w:tblPr>
        <w:tblW w:w="9356" w:type="dxa"/>
        <w:jc w:val="center"/>
        <w:tblLayout w:type="fixed"/>
        <w:tblLook w:val="01E0" w:firstRow="1" w:lastRow="1" w:firstColumn="1" w:lastColumn="1" w:noHBand="0" w:noVBand="0"/>
      </w:tblPr>
      <w:tblGrid>
        <w:gridCol w:w="4536"/>
        <w:gridCol w:w="284"/>
        <w:gridCol w:w="4536"/>
      </w:tblGrid>
      <w:tr w:rsidR="0048036A" w14:paraId="542E38A0" w14:textId="77777777" w:rsidTr="0048036A">
        <w:trPr>
          <w:cantSplit/>
          <w:jc w:val="center"/>
        </w:trPr>
        <w:tc>
          <w:tcPr>
            <w:tcW w:w="4536" w:type="dxa"/>
            <w:hideMark/>
          </w:tcPr>
          <w:p w14:paraId="542E3899"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 Commonwealth of Australia by</w:t>
            </w:r>
          </w:p>
          <w:p w14:paraId="542E389A" w14:textId="77777777" w:rsidR="0048036A" w:rsidRPr="000A0132" w:rsidRDefault="0048036A" w:rsidP="00F10B39">
            <w:pPr>
              <w:pStyle w:val="LineForSignature"/>
              <w:rPr>
                <w:lang w:eastAsia="en-US"/>
              </w:rPr>
            </w:pPr>
            <w:r w:rsidRPr="000A0132">
              <w:rPr>
                <w:lang w:eastAsia="en-US"/>
              </w:rPr>
              <w:tab/>
            </w:r>
          </w:p>
          <w:p w14:paraId="542E389B"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The Honourable Malcolm Turnbull MP</w:t>
            </w:r>
          </w:p>
          <w:p w14:paraId="542E389C" w14:textId="77777777" w:rsidR="0048036A" w:rsidRPr="000A0132" w:rsidRDefault="0048036A" w:rsidP="00F10B39">
            <w:pPr>
              <w:pStyle w:val="Position"/>
              <w:rPr>
                <w:rFonts w:eastAsiaTheme="majorEastAsia"/>
                <w:lang w:val="en-GB"/>
              </w:rPr>
            </w:pPr>
            <w:r w:rsidRPr="000A0132">
              <w:rPr>
                <w:lang w:val="en-GB" w:eastAsia="en-US"/>
              </w:rPr>
              <w:t>Prime Minister of the Commonwealth of Australia</w:t>
            </w:r>
          </w:p>
          <w:p w14:paraId="542E389D" w14:textId="77777777" w:rsidR="0048036A" w:rsidRPr="000A0132" w:rsidRDefault="000A0132" w:rsidP="00F10B39">
            <w:pPr>
              <w:pStyle w:val="SingleParagraph"/>
              <w:tabs>
                <w:tab w:val="num" w:pos="1134"/>
              </w:tabs>
              <w:spacing w:after="240"/>
              <w:ind w:left="1134" w:hanging="567"/>
              <w:rPr>
                <w:b/>
                <w:lang w:val="en-GB" w:eastAsia="en-US"/>
              </w:rPr>
            </w:pPr>
            <w:r w:rsidRPr="00631D4B">
              <w:rPr>
                <w:lang w:val="en-GB" w:eastAsia="en-US"/>
              </w:rPr>
              <w:t>March 2017</w:t>
            </w:r>
          </w:p>
        </w:tc>
        <w:tc>
          <w:tcPr>
            <w:tcW w:w="284" w:type="dxa"/>
            <w:tcMar>
              <w:top w:w="0" w:type="dxa"/>
              <w:left w:w="0" w:type="dxa"/>
              <w:bottom w:w="0" w:type="dxa"/>
              <w:right w:w="0" w:type="dxa"/>
            </w:tcMar>
          </w:tcPr>
          <w:p w14:paraId="542E389E" w14:textId="77777777" w:rsidR="0048036A" w:rsidRPr="000A0132" w:rsidRDefault="0048036A" w:rsidP="00F10B39">
            <w:pPr>
              <w:spacing w:after="240" w:line="260" w:lineRule="exact"/>
              <w:jc w:val="both"/>
              <w:rPr>
                <w:rFonts w:ascii="Book Antiqua" w:hAnsi="Book Antiqua"/>
                <w:color w:val="000000"/>
                <w:sz w:val="23"/>
                <w:szCs w:val="22"/>
                <w:lang w:val="en-GB"/>
              </w:rPr>
            </w:pPr>
          </w:p>
        </w:tc>
        <w:tc>
          <w:tcPr>
            <w:tcW w:w="4536" w:type="dxa"/>
          </w:tcPr>
          <w:p w14:paraId="542E389F" w14:textId="77777777" w:rsidR="0048036A" w:rsidRPr="000A0132" w:rsidRDefault="0048036A" w:rsidP="00F10B39">
            <w:pPr>
              <w:spacing w:after="240" w:line="260" w:lineRule="exact"/>
              <w:jc w:val="both"/>
              <w:rPr>
                <w:rFonts w:ascii="Book Antiqua" w:hAnsi="Book Antiqua"/>
                <w:color w:val="000000"/>
                <w:sz w:val="23"/>
                <w:szCs w:val="22"/>
                <w:lang w:val="en-GB"/>
              </w:rPr>
            </w:pPr>
          </w:p>
        </w:tc>
      </w:tr>
      <w:tr w:rsidR="0048036A" w14:paraId="542E38AC" w14:textId="77777777" w:rsidTr="0048036A">
        <w:trPr>
          <w:cantSplit/>
          <w:jc w:val="center"/>
        </w:trPr>
        <w:tc>
          <w:tcPr>
            <w:tcW w:w="4536" w:type="dxa"/>
            <w:hideMark/>
          </w:tcPr>
          <w:p w14:paraId="542E38A1"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 </w:t>
            </w:r>
            <w:r w:rsidRPr="000A0132">
              <w:rPr>
                <w:lang w:eastAsia="en-US"/>
              </w:rPr>
              <w:br/>
              <w:t>State of New South Wales by</w:t>
            </w:r>
          </w:p>
          <w:p w14:paraId="542E38A2" w14:textId="77777777" w:rsidR="0048036A" w:rsidRPr="000A0132" w:rsidRDefault="0048036A" w:rsidP="00F10B39">
            <w:pPr>
              <w:pStyle w:val="LineForSignature"/>
              <w:rPr>
                <w:lang w:eastAsia="en-US"/>
              </w:rPr>
            </w:pPr>
            <w:r w:rsidRPr="000A0132">
              <w:rPr>
                <w:lang w:eastAsia="en-US"/>
              </w:rPr>
              <w:tab/>
            </w:r>
          </w:p>
          <w:p w14:paraId="542E38A3"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 xml:space="preserve">The Honourable </w:t>
            </w:r>
            <w:r w:rsidRPr="000A0132">
              <w:rPr>
                <w:rStyle w:val="Bold"/>
                <w:rFonts w:eastAsiaTheme="majorEastAsia"/>
                <w:bCs/>
                <w:lang w:eastAsia="en-US"/>
              </w:rPr>
              <w:t xml:space="preserve">Gladys Berejiklian </w:t>
            </w:r>
            <w:r w:rsidRPr="000A0132">
              <w:rPr>
                <w:rStyle w:val="Bold"/>
                <w:rFonts w:eastAsiaTheme="majorEastAsia"/>
                <w:lang w:eastAsia="en-US"/>
              </w:rPr>
              <w:t>MP</w:t>
            </w:r>
          </w:p>
          <w:p w14:paraId="542E38A4" w14:textId="77777777" w:rsidR="0048036A" w:rsidRPr="000A0132" w:rsidRDefault="0048036A" w:rsidP="00F10B39">
            <w:pPr>
              <w:pStyle w:val="Position"/>
              <w:rPr>
                <w:rFonts w:ascii="Book Antiqua" w:eastAsiaTheme="majorEastAsia" w:hAnsi="Book Antiqua"/>
                <w:bCs w:val="0"/>
                <w:lang w:val="en-GB"/>
              </w:rPr>
            </w:pPr>
            <w:r w:rsidRPr="000A0132">
              <w:rPr>
                <w:bCs w:val="0"/>
                <w:lang w:val="en-GB" w:eastAsia="en-US"/>
              </w:rPr>
              <w:t xml:space="preserve">Premier of the State of New </w:t>
            </w:r>
            <w:r w:rsidRPr="000A0132">
              <w:rPr>
                <w:lang w:val="en-GB" w:eastAsia="en-US"/>
              </w:rPr>
              <w:t>South</w:t>
            </w:r>
            <w:r w:rsidRPr="000A0132">
              <w:rPr>
                <w:bCs w:val="0"/>
                <w:lang w:val="en-GB" w:eastAsia="en-US"/>
              </w:rPr>
              <w:t xml:space="preserve"> Wales</w:t>
            </w:r>
          </w:p>
          <w:p w14:paraId="542E38A5" w14:textId="77777777" w:rsidR="0048036A" w:rsidRPr="000A0132" w:rsidRDefault="000A0132" w:rsidP="00F10B39">
            <w:pPr>
              <w:pStyle w:val="SingleParagraph"/>
              <w:tabs>
                <w:tab w:val="num" w:pos="1134"/>
              </w:tabs>
              <w:spacing w:after="240"/>
              <w:ind w:left="1134" w:hanging="567"/>
              <w:rPr>
                <w:szCs w:val="22"/>
                <w:lang w:val="en-GB" w:eastAsia="en-US"/>
              </w:rPr>
            </w:pPr>
            <w:r w:rsidRPr="00631D4B">
              <w:rPr>
                <w:lang w:val="en-GB" w:eastAsia="en-US"/>
              </w:rPr>
              <w:t>March</w:t>
            </w:r>
            <w:r w:rsidR="0048036A" w:rsidRPr="00631D4B">
              <w:rPr>
                <w:lang w:val="en-GB" w:eastAsia="en-US"/>
              </w:rPr>
              <w:t xml:space="preserve"> 2017</w:t>
            </w:r>
          </w:p>
        </w:tc>
        <w:tc>
          <w:tcPr>
            <w:tcW w:w="284" w:type="dxa"/>
            <w:tcMar>
              <w:top w:w="0" w:type="dxa"/>
              <w:left w:w="0" w:type="dxa"/>
              <w:bottom w:w="0" w:type="dxa"/>
              <w:right w:w="0" w:type="dxa"/>
            </w:tcMar>
          </w:tcPr>
          <w:p w14:paraId="542E38A6" w14:textId="77777777" w:rsidR="0048036A" w:rsidRPr="000A0132" w:rsidRDefault="0048036A" w:rsidP="00F10B39">
            <w:pPr>
              <w:spacing w:after="240" w:line="260" w:lineRule="exact"/>
              <w:jc w:val="both"/>
              <w:rPr>
                <w:rFonts w:ascii="Book Antiqua" w:hAnsi="Book Antiqua"/>
                <w:color w:val="000000"/>
                <w:sz w:val="23"/>
                <w:szCs w:val="22"/>
                <w:lang w:val="en-GB"/>
              </w:rPr>
            </w:pPr>
          </w:p>
        </w:tc>
        <w:tc>
          <w:tcPr>
            <w:tcW w:w="4536" w:type="dxa"/>
            <w:hideMark/>
          </w:tcPr>
          <w:p w14:paraId="542E38A7"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w:t>
            </w:r>
            <w:r w:rsidRPr="000A0132">
              <w:rPr>
                <w:lang w:eastAsia="en-US"/>
              </w:rPr>
              <w:br/>
              <w:t>State of Victoria by</w:t>
            </w:r>
          </w:p>
          <w:p w14:paraId="542E38A8" w14:textId="77777777" w:rsidR="0048036A" w:rsidRPr="000A0132" w:rsidRDefault="0048036A" w:rsidP="00F10B39">
            <w:pPr>
              <w:pStyle w:val="LineForSignature"/>
              <w:rPr>
                <w:lang w:eastAsia="en-US"/>
              </w:rPr>
            </w:pPr>
            <w:r w:rsidRPr="000A0132">
              <w:rPr>
                <w:lang w:eastAsia="en-US"/>
              </w:rPr>
              <w:tab/>
            </w:r>
          </w:p>
          <w:p w14:paraId="542E38A9"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The Honourable Daniel Andrews MLA</w:t>
            </w:r>
          </w:p>
          <w:p w14:paraId="542E38AA" w14:textId="77777777" w:rsidR="0048036A" w:rsidRPr="000A0132" w:rsidRDefault="0048036A" w:rsidP="00F10B39">
            <w:pPr>
              <w:pStyle w:val="Position"/>
              <w:rPr>
                <w:rFonts w:ascii="Book Antiqua" w:eastAsiaTheme="majorEastAsia" w:hAnsi="Book Antiqua"/>
                <w:bCs w:val="0"/>
                <w:lang w:val="en-GB"/>
              </w:rPr>
            </w:pPr>
            <w:r w:rsidRPr="000A0132">
              <w:rPr>
                <w:bCs w:val="0"/>
                <w:lang w:val="en-GB" w:eastAsia="en-US"/>
              </w:rPr>
              <w:t>Premier of the State of Victoria</w:t>
            </w:r>
          </w:p>
          <w:p w14:paraId="542E38AB" w14:textId="77777777" w:rsidR="0048036A" w:rsidRPr="000A0132" w:rsidRDefault="000A0132" w:rsidP="00F10B39">
            <w:pPr>
              <w:pStyle w:val="SingleParagraph"/>
              <w:tabs>
                <w:tab w:val="num" w:pos="1134"/>
              </w:tabs>
              <w:spacing w:after="240"/>
              <w:ind w:left="1134" w:hanging="567"/>
              <w:rPr>
                <w:lang w:val="en-GB" w:eastAsia="en-US"/>
              </w:rPr>
            </w:pPr>
            <w:r w:rsidRPr="00631D4B">
              <w:rPr>
                <w:lang w:val="en-GB" w:eastAsia="en-US"/>
              </w:rPr>
              <w:t>March 2017</w:t>
            </w:r>
          </w:p>
        </w:tc>
      </w:tr>
      <w:tr w:rsidR="0048036A" w14:paraId="542E38B8" w14:textId="77777777" w:rsidTr="0048036A">
        <w:trPr>
          <w:cantSplit/>
          <w:jc w:val="center"/>
        </w:trPr>
        <w:tc>
          <w:tcPr>
            <w:tcW w:w="4536" w:type="dxa"/>
            <w:hideMark/>
          </w:tcPr>
          <w:p w14:paraId="542E38AD"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w:t>
            </w:r>
            <w:r w:rsidRPr="000A0132">
              <w:rPr>
                <w:lang w:eastAsia="en-US"/>
              </w:rPr>
              <w:br/>
              <w:t>State of Queensland by</w:t>
            </w:r>
          </w:p>
          <w:p w14:paraId="542E38AE" w14:textId="77777777" w:rsidR="0048036A" w:rsidRPr="000A0132" w:rsidRDefault="0048036A" w:rsidP="00F10B39">
            <w:pPr>
              <w:pStyle w:val="LineForSignature"/>
              <w:rPr>
                <w:lang w:eastAsia="en-US"/>
              </w:rPr>
            </w:pPr>
            <w:r w:rsidRPr="000A0132">
              <w:rPr>
                <w:lang w:eastAsia="en-US"/>
              </w:rPr>
              <w:tab/>
            </w:r>
          </w:p>
          <w:p w14:paraId="542E38AF" w14:textId="77777777" w:rsidR="0048036A" w:rsidRPr="000A0132" w:rsidRDefault="0048036A" w:rsidP="00F10B39">
            <w:pPr>
              <w:pStyle w:val="SingleParagraph"/>
              <w:rPr>
                <w:b/>
                <w:lang w:eastAsia="en-US"/>
              </w:rPr>
            </w:pPr>
            <w:r w:rsidRPr="000A0132">
              <w:rPr>
                <w:b/>
                <w:lang w:eastAsia="en-US"/>
              </w:rPr>
              <w:t>The Honourable Annastacia Palaszczuk MP</w:t>
            </w:r>
          </w:p>
          <w:p w14:paraId="542E38B0" w14:textId="77777777" w:rsidR="0048036A" w:rsidRPr="000A0132" w:rsidRDefault="0048036A" w:rsidP="00F10B39">
            <w:pPr>
              <w:pStyle w:val="Position"/>
              <w:rPr>
                <w:rFonts w:ascii="Book Antiqua" w:hAnsi="Book Antiqua"/>
                <w:bCs w:val="0"/>
                <w:lang w:val="en-GB" w:eastAsia="en-US"/>
              </w:rPr>
            </w:pPr>
            <w:r w:rsidRPr="000A0132">
              <w:rPr>
                <w:bCs w:val="0"/>
                <w:lang w:val="en-GB" w:eastAsia="en-US"/>
              </w:rPr>
              <w:t xml:space="preserve">Premier of the State of </w:t>
            </w:r>
            <w:r w:rsidRPr="000A0132">
              <w:rPr>
                <w:lang w:val="en-GB" w:eastAsia="en-US"/>
              </w:rPr>
              <w:t>Queensland</w:t>
            </w:r>
          </w:p>
          <w:p w14:paraId="542E38B1" w14:textId="77777777" w:rsidR="0048036A" w:rsidRPr="000A0132" w:rsidRDefault="000A0132" w:rsidP="00F10B39">
            <w:pPr>
              <w:pStyle w:val="SingleParagraph"/>
              <w:tabs>
                <w:tab w:val="num" w:pos="1134"/>
              </w:tabs>
              <w:spacing w:after="240"/>
              <w:ind w:left="1134" w:hanging="567"/>
              <w:rPr>
                <w:lang w:val="en-GB" w:eastAsia="en-US"/>
              </w:rPr>
            </w:pPr>
            <w:r w:rsidRPr="00631D4B">
              <w:rPr>
                <w:lang w:val="en-GB" w:eastAsia="en-US"/>
              </w:rPr>
              <w:t>March 2017</w:t>
            </w:r>
          </w:p>
        </w:tc>
        <w:tc>
          <w:tcPr>
            <w:tcW w:w="284" w:type="dxa"/>
            <w:tcMar>
              <w:top w:w="0" w:type="dxa"/>
              <w:left w:w="0" w:type="dxa"/>
              <w:bottom w:w="0" w:type="dxa"/>
              <w:right w:w="0" w:type="dxa"/>
            </w:tcMar>
          </w:tcPr>
          <w:p w14:paraId="542E38B2" w14:textId="77777777" w:rsidR="0048036A" w:rsidRPr="000A0132" w:rsidRDefault="0048036A" w:rsidP="00F10B39">
            <w:pPr>
              <w:spacing w:after="240" w:line="260" w:lineRule="exact"/>
              <w:jc w:val="both"/>
              <w:rPr>
                <w:rFonts w:ascii="Book Antiqua" w:hAnsi="Book Antiqua"/>
                <w:color w:val="000000"/>
                <w:sz w:val="23"/>
                <w:szCs w:val="22"/>
                <w:lang w:val="en-GB"/>
              </w:rPr>
            </w:pPr>
          </w:p>
        </w:tc>
        <w:tc>
          <w:tcPr>
            <w:tcW w:w="4536" w:type="dxa"/>
            <w:hideMark/>
          </w:tcPr>
          <w:p w14:paraId="542E38B3"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w:t>
            </w:r>
            <w:r w:rsidRPr="000A0132">
              <w:rPr>
                <w:lang w:eastAsia="en-US"/>
              </w:rPr>
              <w:br/>
              <w:t>State of Western Australia by</w:t>
            </w:r>
          </w:p>
          <w:p w14:paraId="542E38B4" w14:textId="77777777" w:rsidR="0048036A" w:rsidRPr="000A0132" w:rsidRDefault="0048036A" w:rsidP="00F10B39">
            <w:pPr>
              <w:pStyle w:val="LineForSignature"/>
              <w:rPr>
                <w:lang w:eastAsia="en-US"/>
              </w:rPr>
            </w:pPr>
            <w:r w:rsidRPr="000A0132">
              <w:rPr>
                <w:lang w:eastAsia="en-US"/>
              </w:rPr>
              <w:tab/>
            </w:r>
          </w:p>
          <w:p w14:paraId="542E38B5" w14:textId="77777777" w:rsidR="0048036A" w:rsidRPr="00631D4B" w:rsidRDefault="0048036A" w:rsidP="00F10B39">
            <w:pPr>
              <w:pStyle w:val="SingleParagraph"/>
              <w:rPr>
                <w:rStyle w:val="Bold"/>
                <w:rFonts w:eastAsiaTheme="majorEastAsia"/>
              </w:rPr>
            </w:pPr>
          </w:p>
          <w:p w14:paraId="542E38B6" w14:textId="77777777" w:rsidR="0048036A" w:rsidRPr="000A0132" w:rsidRDefault="0048036A" w:rsidP="00F10B39">
            <w:pPr>
              <w:pStyle w:val="Position"/>
              <w:rPr>
                <w:rFonts w:ascii="Book Antiqua" w:eastAsiaTheme="majorEastAsia" w:hAnsi="Book Antiqua"/>
                <w:bCs w:val="0"/>
                <w:lang w:val="en-GB"/>
              </w:rPr>
            </w:pPr>
            <w:r w:rsidRPr="000A0132">
              <w:rPr>
                <w:lang w:val="en-GB" w:eastAsia="en-US"/>
              </w:rPr>
              <w:t>Premier</w:t>
            </w:r>
            <w:r w:rsidRPr="000A0132">
              <w:rPr>
                <w:bCs w:val="0"/>
                <w:lang w:val="en-GB" w:eastAsia="en-US"/>
              </w:rPr>
              <w:t xml:space="preserve"> of the State of </w:t>
            </w:r>
            <w:r w:rsidRPr="000A0132">
              <w:rPr>
                <w:bCs w:val="0"/>
                <w:spacing w:val="-4"/>
                <w:lang w:val="en-GB" w:eastAsia="en-US"/>
              </w:rPr>
              <w:t>Western Australia</w:t>
            </w:r>
          </w:p>
          <w:p w14:paraId="542E38B7" w14:textId="77777777" w:rsidR="0048036A" w:rsidRPr="000A0132" w:rsidRDefault="000A0132" w:rsidP="00F10B39">
            <w:pPr>
              <w:pStyle w:val="SingleParagraph"/>
              <w:tabs>
                <w:tab w:val="num" w:pos="1134"/>
              </w:tabs>
              <w:spacing w:after="240"/>
              <w:ind w:left="1134" w:hanging="567"/>
              <w:rPr>
                <w:lang w:val="en-GB" w:eastAsia="en-US"/>
              </w:rPr>
            </w:pPr>
            <w:r w:rsidRPr="00631D4B">
              <w:rPr>
                <w:lang w:val="en-GB" w:eastAsia="en-US"/>
              </w:rPr>
              <w:t>March 2017</w:t>
            </w:r>
          </w:p>
        </w:tc>
      </w:tr>
      <w:tr w:rsidR="0048036A" w14:paraId="542E38C4" w14:textId="77777777" w:rsidTr="0048036A">
        <w:trPr>
          <w:cantSplit/>
          <w:trHeight w:val="143"/>
          <w:jc w:val="center"/>
        </w:trPr>
        <w:tc>
          <w:tcPr>
            <w:tcW w:w="4536" w:type="dxa"/>
            <w:hideMark/>
          </w:tcPr>
          <w:p w14:paraId="542E38B9"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w:t>
            </w:r>
            <w:r w:rsidRPr="000A0132">
              <w:rPr>
                <w:lang w:eastAsia="en-US"/>
              </w:rPr>
              <w:br/>
              <w:t>State of South Australia by</w:t>
            </w:r>
          </w:p>
          <w:p w14:paraId="542E38BA" w14:textId="77777777" w:rsidR="0048036A" w:rsidRPr="000A0132" w:rsidRDefault="0048036A" w:rsidP="00F10B39">
            <w:pPr>
              <w:pStyle w:val="LineForSignature"/>
              <w:rPr>
                <w:lang w:eastAsia="en-US"/>
              </w:rPr>
            </w:pPr>
            <w:r w:rsidRPr="000A0132">
              <w:rPr>
                <w:lang w:eastAsia="en-US"/>
              </w:rPr>
              <w:tab/>
            </w:r>
          </w:p>
          <w:p w14:paraId="542E38BB"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The Honourable Jay Weatherill MP</w:t>
            </w:r>
          </w:p>
          <w:p w14:paraId="542E38BC" w14:textId="77777777" w:rsidR="0048036A" w:rsidRPr="000A0132" w:rsidRDefault="0048036A" w:rsidP="00F10B39">
            <w:pPr>
              <w:pStyle w:val="Position"/>
              <w:rPr>
                <w:rFonts w:ascii="Book Antiqua" w:eastAsiaTheme="majorEastAsia" w:hAnsi="Book Antiqua"/>
                <w:bCs w:val="0"/>
                <w:lang w:val="en-GB"/>
              </w:rPr>
            </w:pPr>
            <w:r w:rsidRPr="000A0132">
              <w:rPr>
                <w:bCs w:val="0"/>
                <w:lang w:val="en-GB" w:eastAsia="en-US"/>
              </w:rPr>
              <w:t xml:space="preserve">Premier of the State of </w:t>
            </w:r>
            <w:r w:rsidRPr="000A0132">
              <w:rPr>
                <w:lang w:val="en-GB" w:eastAsia="en-US"/>
              </w:rPr>
              <w:t>South</w:t>
            </w:r>
            <w:r w:rsidRPr="000A0132">
              <w:rPr>
                <w:bCs w:val="0"/>
                <w:lang w:val="en-GB" w:eastAsia="en-US"/>
              </w:rPr>
              <w:t xml:space="preserve"> Australia</w:t>
            </w:r>
          </w:p>
          <w:p w14:paraId="542E38BD" w14:textId="77777777" w:rsidR="0048036A" w:rsidRPr="000A0132" w:rsidRDefault="000A0132" w:rsidP="00F10B39">
            <w:pPr>
              <w:pStyle w:val="SingleParagraph"/>
              <w:tabs>
                <w:tab w:val="num" w:pos="1134"/>
              </w:tabs>
              <w:spacing w:after="240"/>
              <w:ind w:left="1134" w:hanging="567"/>
              <w:rPr>
                <w:lang w:val="en-GB" w:eastAsia="en-US"/>
              </w:rPr>
            </w:pPr>
            <w:r w:rsidRPr="00631D4B">
              <w:rPr>
                <w:lang w:val="en-GB" w:eastAsia="en-US"/>
              </w:rPr>
              <w:t>March 2017</w:t>
            </w:r>
          </w:p>
        </w:tc>
        <w:tc>
          <w:tcPr>
            <w:tcW w:w="284" w:type="dxa"/>
            <w:tcMar>
              <w:top w:w="0" w:type="dxa"/>
              <w:left w:w="0" w:type="dxa"/>
              <w:bottom w:w="0" w:type="dxa"/>
              <w:right w:w="0" w:type="dxa"/>
            </w:tcMar>
          </w:tcPr>
          <w:p w14:paraId="542E38BE" w14:textId="77777777" w:rsidR="0048036A" w:rsidRPr="000A0132" w:rsidRDefault="0048036A" w:rsidP="00F10B39">
            <w:pPr>
              <w:spacing w:after="240" w:line="260" w:lineRule="exact"/>
              <w:jc w:val="both"/>
              <w:rPr>
                <w:rFonts w:ascii="Book Antiqua" w:hAnsi="Book Antiqua"/>
                <w:color w:val="000000"/>
                <w:sz w:val="23"/>
                <w:szCs w:val="22"/>
                <w:lang w:val="en-GB"/>
              </w:rPr>
            </w:pPr>
          </w:p>
        </w:tc>
        <w:tc>
          <w:tcPr>
            <w:tcW w:w="4536" w:type="dxa"/>
            <w:hideMark/>
          </w:tcPr>
          <w:p w14:paraId="542E38BF"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lang w:eastAsia="en-US"/>
              </w:rPr>
              <w:t xml:space="preserve"> for and on behalf of the</w:t>
            </w:r>
            <w:r w:rsidRPr="000A0132">
              <w:rPr>
                <w:lang w:eastAsia="en-US"/>
              </w:rPr>
              <w:br/>
              <w:t>State of Tasmania by</w:t>
            </w:r>
          </w:p>
          <w:p w14:paraId="542E38C0" w14:textId="77777777" w:rsidR="0048036A" w:rsidRPr="000A0132" w:rsidRDefault="0048036A" w:rsidP="00F10B39">
            <w:pPr>
              <w:pStyle w:val="LineForSignature"/>
              <w:rPr>
                <w:lang w:eastAsia="en-US"/>
              </w:rPr>
            </w:pPr>
            <w:r w:rsidRPr="000A0132">
              <w:rPr>
                <w:lang w:eastAsia="en-US"/>
              </w:rPr>
              <w:tab/>
            </w:r>
          </w:p>
          <w:p w14:paraId="542E38C1"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The Honourable Will Hodgman MP</w:t>
            </w:r>
          </w:p>
          <w:p w14:paraId="542E38C2" w14:textId="77777777" w:rsidR="0048036A" w:rsidRPr="000A0132" w:rsidRDefault="0048036A" w:rsidP="00F10B39">
            <w:pPr>
              <w:pStyle w:val="Position"/>
              <w:rPr>
                <w:rFonts w:ascii="Book Antiqua" w:eastAsiaTheme="majorEastAsia" w:hAnsi="Book Antiqua"/>
                <w:bCs w:val="0"/>
                <w:lang w:val="en-GB"/>
              </w:rPr>
            </w:pPr>
            <w:r w:rsidRPr="000A0132">
              <w:rPr>
                <w:bCs w:val="0"/>
                <w:lang w:val="en-GB" w:eastAsia="en-US"/>
              </w:rPr>
              <w:t>Premier of the State of Tasmania</w:t>
            </w:r>
          </w:p>
          <w:p w14:paraId="542E38C3" w14:textId="77777777" w:rsidR="0048036A" w:rsidRPr="000A0132" w:rsidRDefault="000A0132" w:rsidP="00F10B39">
            <w:pPr>
              <w:pStyle w:val="SingleParagraph"/>
              <w:tabs>
                <w:tab w:val="num" w:pos="1134"/>
              </w:tabs>
              <w:spacing w:after="240"/>
              <w:ind w:left="1134" w:hanging="567"/>
              <w:rPr>
                <w:lang w:val="en-GB" w:eastAsia="en-US"/>
              </w:rPr>
            </w:pPr>
            <w:r w:rsidRPr="00631D4B">
              <w:rPr>
                <w:lang w:val="en-GB" w:eastAsia="en-US"/>
              </w:rPr>
              <w:t>March 2017</w:t>
            </w:r>
          </w:p>
        </w:tc>
      </w:tr>
      <w:tr w:rsidR="0048036A" w14:paraId="542E38D0" w14:textId="77777777" w:rsidTr="0048036A">
        <w:trPr>
          <w:cantSplit/>
          <w:jc w:val="center"/>
        </w:trPr>
        <w:tc>
          <w:tcPr>
            <w:tcW w:w="4536" w:type="dxa"/>
            <w:hideMark/>
          </w:tcPr>
          <w:p w14:paraId="542E38C5"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i w:val="0"/>
                <w:lang w:eastAsia="en-US"/>
              </w:rPr>
              <w:t xml:space="preserve"> </w:t>
            </w:r>
            <w:r w:rsidRPr="000A0132">
              <w:rPr>
                <w:lang w:eastAsia="en-US"/>
              </w:rPr>
              <w:t>for and on behalf of the</w:t>
            </w:r>
            <w:r w:rsidRPr="000A0132">
              <w:rPr>
                <w:i w:val="0"/>
                <w:lang w:eastAsia="en-US"/>
              </w:rPr>
              <w:t xml:space="preserve"> </w:t>
            </w:r>
            <w:r w:rsidRPr="000A0132">
              <w:rPr>
                <w:lang w:eastAsia="en-US"/>
              </w:rPr>
              <w:t>Australian Capital Territory by</w:t>
            </w:r>
          </w:p>
          <w:p w14:paraId="542E38C6" w14:textId="77777777" w:rsidR="0048036A" w:rsidRPr="000A0132" w:rsidRDefault="0048036A" w:rsidP="00F10B39">
            <w:pPr>
              <w:pStyle w:val="LineForSignature"/>
              <w:rPr>
                <w:lang w:eastAsia="en-US"/>
              </w:rPr>
            </w:pPr>
            <w:r w:rsidRPr="000A0132">
              <w:rPr>
                <w:lang w:eastAsia="en-US"/>
              </w:rPr>
              <w:tab/>
            </w:r>
          </w:p>
          <w:p w14:paraId="542E38C7"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Andrew Barr MLA</w:t>
            </w:r>
          </w:p>
          <w:p w14:paraId="542E38C8" w14:textId="77777777" w:rsidR="0048036A" w:rsidRPr="000A0132" w:rsidRDefault="0048036A" w:rsidP="00F10B39">
            <w:pPr>
              <w:pStyle w:val="Position"/>
              <w:rPr>
                <w:rFonts w:ascii="Book Antiqua" w:eastAsiaTheme="majorEastAsia" w:hAnsi="Book Antiqua"/>
                <w:bCs w:val="0"/>
                <w:lang w:val="en-GB"/>
              </w:rPr>
            </w:pPr>
            <w:r w:rsidRPr="000A0132">
              <w:rPr>
                <w:lang w:val="en-GB" w:eastAsia="en-US"/>
              </w:rPr>
              <w:t>Chief Minister of the Australian Capital Territory</w:t>
            </w:r>
          </w:p>
          <w:p w14:paraId="542E38C9" w14:textId="77777777" w:rsidR="0048036A" w:rsidRPr="000A0132" w:rsidRDefault="000A0132" w:rsidP="00F10B39">
            <w:pPr>
              <w:pStyle w:val="SingleParagraph"/>
              <w:tabs>
                <w:tab w:val="num" w:pos="1134"/>
              </w:tabs>
              <w:spacing w:after="240"/>
              <w:ind w:left="1134" w:hanging="567"/>
              <w:rPr>
                <w:szCs w:val="22"/>
                <w:lang w:val="en-GB" w:eastAsia="en-US"/>
              </w:rPr>
            </w:pPr>
            <w:r w:rsidRPr="00631D4B">
              <w:rPr>
                <w:lang w:val="en-GB" w:eastAsia="en-US"/>
              </w:rPr>
              <w:t>March 2017</w:t>
            </w:r>
          </w:p>
        </w:tc>
        <w:tc>
          <w:tcPr>
            <w:tcW w:w="284" w:type="dxa"/>
            <w:tcMar>
              <w:top w:w="0" w:type="dxa"/>
              <w:left w:w="0" w:type="dxa"/>
              <w:bottom w:w="0" w:type="dxa"/>
              <w:right w:w="0" w:type="dxa"/>
            </w:tcMar>
          </w:tcPr>
          <w:p w14:paraId="542E38CA" w14:textId="77777777" w:rsidR="0048036A" w:rsidRPr="000A0132" w:rsidRDefault="0048036A" w:rsidP="00F10B39">
            <w:pPr>
              <w:spacing w:after="240" w:line="260" w:lineRule="exact"/>
              <w:jc w:val="both"/>
              <w:rPr>
                <w:rFonts w:ascii="Book Antiqua" w:hAnsi="Book Antiqua"/>
                <w:color w:val="000000"/>
                <w:sz w:val="23"/>
                <w:szCs w:val="22"/>
                <w:lang w:val="en-GB"/>
              </w:rPr>
            </w:pPr>
          </w:p>
        </w:tc>
        <w:tc>
          <w:tcPr>
            <w:tcW w:w="4536" w:type="dxa"/>
            <w:hideMark/>
          </w:tcPr>
          <w:p w14:paraId="542E38CB" w14:textId="77777777" w:rsidR="0048036A" w:rsidRPr="000A0132" w:rsidRDefault="0048036A" w:rsidP="00F10B39">
            <w:pPr>
              <w:pStyle w:val="Signed"/>
              <w:spacing w:line="276" w:lineRule="auto"/>
              <w:rPr>
                <w:lang w:eastAsia="en-US"/>
              </w:rPr>
            </w:pPr>
            <w:r w:rsidRPr="000A0132">
              <w:rPr>
                <w:rStyle w:val="SignedBold"/>
                <w:bCs w:val="0"/>
                <w:lang w:eastAsia="en-US"/>
              </w:rPr>
              <w:t>Signed</w:t>
            </w:r>
            <w:r w:rsidRPr="000A0132">
              <w:rPr>
                <w:i w:val="0"/>
                <w:lang w:eastAsia="en-US"/>
              </w:rPr>
              <w:t xml:space="preserve"> </w:t>
            </w:r>
            <w:r w:rsidRPr="000A0132">
              <w:rPr>
                <w:lang w:eastAsia="en-US"/>
              </w:rPr>
              <w:t>for and on behalf of the</w:t>
            </w:r>
            <w:r w:rsidRPr="000A0132">
              <w:rPr>
                <w:i w:val="0"/>
                <w:lang w:eastAsia="en-US"/>
              </w:rPr>
              <w:t xml:space="preserve"> </w:t>
            </w:r>
            <w:r w:rsidRPr="000A0132">
              <w:rPr>
                <w:lang w:eastAsia="en-US"/>
              </w:rPr>
              <w:t>Northern Territory by</w:t>
            </w:r>
          </w:p>
          <w:p w14:paraId="542E38CC" w14:textId="77777777" w:rsidR="0048036A" w:rsidRPr="000A0132" w:rsidRDefault="0048036A" w:rsidP="00F10B39">
            <w:pPr>
              <w:pStyle w:val="LineForSignature"/>
              <w:rPr>
                <w:lang w:eastAsia="en-US"/>
              </w:rPr>
            </w:pPr>
            <w:r w:rsidRPr="000A0132">
              <w:rPr>
                <w:lang w:eastAsia="en-US"/>
              </w:rPr>
              <w:tab/>
            </w:r>
          </w:p>
          <w:p w14:paraId="542E38CD" w14:textId="77777777" w:rsidR="0048036A" w:rsidRPr="00631D4B" w:rsidRDefault="0048036A" w:rsidP="00F10B39">
            <w:pPr>
              <w:pStyle w:val="SingleParagraph"/>
              <w:rPr>
                <w:rStyle w:val="Bold"/>
                <w:rFonts w:eastAsiaTheme="majorEastAsia"/>
              </w:rPr>
            </w:pPr>
            <w:r w:rsidRPr="000A0132">
              <w:rPr>
                <w:rStyle w:val="Bold"/>
                <w:rFonts w:eastAsiaTheme="majorEastAsia"/>
                <w:lang w:eastAsia="en-US"/>
              </w:rPr>
              <w:t>The Honourable Michael Gunner MLA</w:t>
            </w:r>
          </w:p>
          <w:p w14:paraId="542E38CE" w14:textId="77777777" w:rsidR="0048036A" w:rsidRPr="000A0132" w:rsidRDefault="0048036A" w:rsidP="00F10B39">
            <w:pPr>
              <w:pStyle w:val="Position"/>
              <w:rPr>
                <w:rFonts w:ascii="Book Antiqua" w:eastAsiaTheme="majorEastAsia" w:hAnsi="Book Antiqua"/>
                <w:bCs w:val="0"/>
                <w:lang w:val="en-GB"/>
              </w:rPr>
            </w:pPr>
            <w:r w:rsidRPr="000A0132">
              <w:rPr>
                <w:bCs w:val="0"/>
                <w:lang w:val="en-GB" w:eastAsia="en-US"/>
              </w:rPr>
              <w:t xml:space="preserve">Chief </w:t>
            </w:r>
            <w:r w:rsidRPr="000A0132">
              <w:rPr>
                <w:lang w:val="en-GB" w:eastAsia="en-US"/>
              </w:rPr>
              <w:t>Minister</w:t>
            </w:r>
            <w:r w:rsidRPr="000A0132">
              <w:rPr>
                <w:bCs w:val="0"/>
                <w:lang w:val="en-GB" w:eastAsia="en-US"/>
              </w:rPr>
              <w:t xml:space="preserve"> of the Northern Territory of Australia</w:t>
            </w:r>
          </w:p>
          <w:p w14:paraId="542E38CF" w14:textId="77777777" w:rsidR="0048036A" w:rsidRPr="000A0132" w:rsidRDefault="000A0132" w:rsidP="00F10B39">
            <w:pPr>
              <w:pStyle w:val="SingleParagraph"/>
              <w:tabs>
                <w:tab w:val="num" w:pos="1134"/>
              </w:tabs>
              <w:spacing w:after="240"/>
              <w:ind w:left="1134" w:hanging="567"/>
              <w:rPr>
                <w:lang w:val="en-GB" w:eastAsia="en-US"/>
              </w:rPr>
            </w:pPr>
            <w:r w:rsidRPr="00631D4B">
              <w:rPr>
                <w:lang w:val="en-GB" w:eastAsia="en-US"/>
              </w:rPr>
              <w:t>March 2017</w:t>
            </w:r>
          </w:p>
        </w:tc>
      </w:tr>
    </w:tbl>
    <w:p w14:paraId="542E38D1" w14:textId="77777777" w:rsidR="0048036A" w:rsidRDefault="0048036A" w:rsidP="0048036A">
      <w:pPr>
        <w:pStyle w:val="Normalnumbered"/>
      </w:pPr>
    </w:p>
    <w:sectPr w:rsidR="0048036A" w:rsidSect="00E1060F">
      <w:headerReference w:type="default" r:id="rId15"/>
      <w:footerReference w:type="default" r:id="rId1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E38D4" w14:textId="77777777" w:rsidR="001729B8" w:rsidRDefault="001729B8" w:rsidP="00FD7E24">
      <w:r>
        <w:separator/>
      </w:r>
    </w:p>
  </w:endnote>
  <w:endnote w:type="continuationSeparator" w:id="0">
    <w:p w14:paraId="542E38D5" w14:textId="77777777" w:rsidR="001729B8" w:rsidRDefault="001729B8" w:rsidP="00FD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38D7" w14:textId="4F0C20E4" w:rsidR="001729B8" w:rsidRPr="005C50B8" w:rsidRDefault="001729B8" w:rsidP="002249C2">
    <w:pPr>
      <w:pStyle w:val="Header"/>
      <w:jc w:val="center"/>
    </w:pPr>
    <w:r w:rsidRPr="005C50B8">
      <w:fldChar w:fldCharType="begin"/>
    </w:r>
    <w:r w:rsidRPr="005C50B8">
      <w:instrText xml:space="preserve"> PAGE   \* MERGEFORMAT </w:instrText>
    </w:r>
    <w:r w:rsidRPr="005C50B8">
      <w:fldChar w:fldCharType="separate"/>
    </w:r>
    <w:r w:rsidR="004C5FD2">
      <w:rPr>
        <w:noProof/>
      </w:rPr>
      <w:t>2</w:t>
    </w:r>
    <w:r w:rsidRPr="005C50B8">
      <w:rPr>
        <w:noProof/>
      </w:rPr>
      <w:fldChar w:fldCharType="end"/>
    </w:r>
  </w:p>
  <w:p w14:paraId="542E38D8" w14:textId="41EE9F77" w:rsidR="001729B8" w:rsidRPr="005C50B8" w:rsidRDefault="001729B8" w:rsidP="002249C2">
    <w:pPr>
      <w:pStyle w:val="Header"/>
      <w:jc w:val="center"/>
      <w:rPr>
        <w:color w:val="FF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38D2" w14:textId="77777777" w:rsidR="001729B8" w:rsidRDefault="001729B8" w:rsidP="00FD7E24">
      <w:r>
        <w:separator/>
      </w:r>
    </w:p>
  </w:footnote>
  <w:footnote w:type="continuationSeparator" w:id="0">
    <w:p w14:paraId="542E38D3" w14:textId="77777777" w:rsidR="001729B8" w:rsidRDefault="001729B8" w:rsidP="00FD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38D6" w14:textId="02AA7201" w:rsidR="001729B8" w:rsidRPr="00E1060F" w:rsidRDefault="001729B8" w:rsidP="00E1060F">
    <w:pPr>
      <w:pStyle w:val="Header"/>
      <w:jc w:val="center"/>
      <w:rPr>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9C8E64"/>
    <w:lvl w:ilvl="0">
      <w:start w:val="1"/>
      <w:numFmt w:val="decimal"/>
      <w:lvlText w:val="%1."/>
      <w:lvlJc w:val="left"/>
      <w:pPr>
        <w:tabs>
          <w:tab w:val="num" w:pos="1492"/>
        </w:tabs>
        <w:ind w:left="1492" w:hanging="360"/>
      </w:pPr>
    </w:lvl>
  </w:abstractNum>
  <w:abstractNum w:abstractNumId="1">
    <w:nsid w:val="FFFFFF7D"/>
    <w:multiLevelType w:val="singleLevel"/>
    <w:tmpl w:val="090459DC"/>
    <w:lvl w:ilvl="0">
      <w:start w:val="1"/>
      <w:numFmt w:val="decimal"/>
      <w:lvlText w:val="%1."/>
      <w:lvlJc w:val="left"/>
      <w:pPr>
        <w:tabs>
          <w:tab w:val="num" w:pos="1209"/>
        </w:tabs>
        <w:ind w:left="1209" w:hanging="360"/>
      </w:pPr>
    </w:lvl>
  </w:abstractNum>
  <w:abstractNum w:abstractNumId="2">
    <w:nsid w:val="FFFFFF7E"/>
    <w:multiLevelType w:val="singleLevel"/>
    <w:tmpl w:val="09E60220"/>
    <w:lvl w:ilvl="0">
      <w:start w:val="1"/>
      <w:numFmt w:val="decimal"/>
      <w:lvlText w:val="%1."/>
      <w:lvlJc w:val="left"/>
      <w:pPr>
        <w:tabs>
          <w:tab w:val="num" w:pos="926"/>
        </w:tabs>
        <w:ind w:left="926" w:hanging="360"/>
      </w:pPr>
    </w:lvl>
  </w:abstractNum>
  <w:abstractNum w:abstractNumId="3">
    <w:nsid w:val="FFFFFF7F"/>
    <w:multiLevelType w:val="singleLevel"/>
    <w:tmpl w:val="7ACE96FE"/>
    <w:lvl w:ilvl="0">
      <w:start w:val="1"/>
      <w:numFmt w:val="decimal"/>
      <w:lvlText w:val="%1."/>
      <w:lvlJc w:val="left"/>
      <w:pPr>
        <w:tabs>
          <w:tab w:val="num" w:pos="643"/>
        </w:tabs>
        <w:ind w:left="643" w:hanging="360"/>
      </w:pPr>
    </w:lvl>
  </w:abstractNum>
  <w:abstractNum w:abstractNumId="4">
    <w:nsid w:val="FFFFFF80"/>
    <w:multiLevelType w:val="singleLevel"/>
    <w:tmpl w:val="EBB065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2091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CE3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AE4F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02F83A"/>
    <w:lvl w:ilvl="0">
      <w:start w:val="1"/>
      <w:numFmt w:val="decimal"/>
      <w:lvlText w:val="%1."/>
      <w:lvlJc w:val="left"/>
      <w:pPr>
        <w:tabs>
          <w:tab w:val="num" w:pos="360"/>
        </w:tabs>
        <w:ind w:left="360" w:hanging="360"/>
      </w:pPr>
    </w:lvl>
  </w:abstractNum>
  <w:abstractNum w:abstractNumId="9">
    <w:nsid w:val="FFFFFF89"/>
    <w:multiLevelType w:val="singleLevel"/>
    <w:tmpl w:val="E32456DE"/>
    <w:lvl w:ilvl="0">
      <w:start w:val="1"/>
      <w:numFmt w:val="bullet"/>
      <w:lvlText w:val=""/>
      <w:lvlJc w:val="left"/>
      <w:pPr>
        <w:tabs>
          <w:tab w:val="num" w:pos="360"/>
        </w:tabs>
        <w:ind w:left="360" w:hanging="360"/>
      </w:pPr>
      <w:rPr>
        <w:rFonts w:ascii="Symbol" w:hAnsi="Symbol" w:hint="default"/>
      </w:rPr>
    </w:lvl>
  </w:abstractNum>
  <w:abstractNum w:abstractNumId="10">
    <w:nsid w:val="0E3E247D"/>
    <w:multiLevelType w:val="multilevel"/>
    <w:tmpl w:val="8892BA8A"/>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nsid w:val="0EAD2C70"/>
    <w:multiLevelType w:val="hybridMultilevel"/>
    <w:tmpl w:val="1628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D46A03"/>
    <w:multiLevelType w:val="hybridMultilevel"/>
    <w:tmpl w:val="9A646942"/>
    <w:lvl w:ilvl="0" w:tplc="8884ACAA">
      <w:start w:val="17"/>
      <w:numFmt w:val="decimal"/>
      <w:lvlText w:val="I%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1206"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4">
    <w:nsid w:val="1BC80668"/>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BC92B36"/>
    <w:multiLevelType w:val="multilevel"/>
    <w:tmpl w:val="DA66FC66"/>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6">
    <w:nsid w:val="1BFB1CE6"/>
    <w:multiLevelType w:val="hybridMultilevel"/>
    <w:tmpl w:val="B6A09016"/>
    <w:lvl w:ilvl="0" w:tplc="489C0896">
      <w:start w:val="9"/>
      <w:numFmt w:val="lowerLetter"/>
      <w:lvlText w:val="(%1)"/>
      <w:lvlJc w:val="left"/>
      <w:pPr>
        <w:ind w:left="1800" w:hanging="10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E00105F"/>
    <w:multiLevelType w:val="multilevel"/>
    <w:tmpl w:val="1590801C"/>
    <w:lvl w:ilvl="0">
      <w:start w:val="24"/>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282A1249"/>
    <w:multiLevelType w:val="hybridMultilevel"/>
    <w:tmpl w:val="4A46B1F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9">
    <w:nsid w:val="296E1A8D"/>
    <w:multiLevelType w:val="multilevel"/>
    <w:tmpl w:val="A1A49E88"/>
    <w:lvl w:ilvl="0">
      <w:start w:val="37"/>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nsid w:val="2BCA284D"/>
    <w:multiLevelType w:val="hybridMultilevel"/>
    <w:tmpl w:val="7ED2BB2A"/>
    <w:lvl w:ilvl="0" w:tplc="489C089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D58574E"/>
    <w:multiLevelType w:val="hybridMultilevel"/>
    <w:tmpl w:val="9E221A12"/>
    <w:lvl w:ilvl="0" w:tplc="A51EF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AA739D"/>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BB83A2D"/>
    <w:multiLevelType w:val="multilevel"/>
    <w:tmpl w:val="8892BA8A"/>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nsid w:val="42EA4865"/>
    <w:multiLevelType w:val="multilevel"/>
    <w:tmpl w:val="8892BA8A"/>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nsid w:val="485364D1"/>
    <w:multiLevelType w:val="hybridMultilevel"/>
    <w:tmpl w:val="D35E396E"/>
    <w:lvl w:ilvl="0" w:tplc="0C090019">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6">
    <w:nsid w:val="5CB13503"/>
    <w:multiLevelType w:val="hybridMultilevel"/>
    <w:tmpl w:val="E64C97E4"/>
    <w:lvl w:ilvl="0" w:tplc="0C090019">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7">
    <w:nsid w:val="68D9297B"/>
    <w:multiLevelType w:val="multilevel"/>
    <w:tmpl w:val="26C83596"/>
    <w:lvl w:ilvl="0">
      <w:start w:val="1"/>
      <w:numFmt w:val="decimal"/>
      <w:lvlText w:val="%1."/>
      <w:lvlJc w:val="left"/>
      <w:pPr>
        <w:ind w:left="360" w:hanging="360"/>
      </w:pPr>
      <w:rPr>
        <w:sz w:val="24"/>
        <w:szCs w:val="24"/>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A01949"/>
    <w:multiLevelType w:val="multilevel"/>
    <w:tmpl w:val="A1A49E88"/>
    <w:lvl w:ilvl="0">
      <w:start w:val="37"/>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nsid w:val="6DB163B8"/>
    <w:multiLevelType w:val="hybridMultilevel"/>
    <w:tmpl w:val="AD228154"/>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nsid w:val="73BE07FC"/>
    <w:multiLevelType w:val="hybridMultilevel"/>
    <w:tmpl w:val="A3ACA66A"/>
    <w:lvl w:ilvl="0" w:tplc="8884ACAA">
      <w:start w:val="17"/>
      <w:numFmt w:val="decimal"/>
      <w:lvlText w:val="I%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F92E71"/>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AF736DA"/>
    <w:multiLevelType w:val="multilevel"/>
    <w:tmpl w:val="BD3C573C"/>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7E2D4FA3"/>
    <w:multiLevelType w:val="hybridMultilevel"/>
    <w:tmpl w:val="B982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0"/>
  </w:num>
  <w:num w:numId="19">
    <w:abstractNumId w:val="12"/>
  </w:num>
  <w:num w:numId="20">
    <w:abstractNumId w:val="22"/>
  </w:num>
  <w:num w:numId="21">
    <w:abstractNumId w:val="14"/>
  </w:num>
  <w:num w:numId="22">
    <w:abstractNumId w:val="11"/>
  </w:num>
  <w:num w:numId="23">
    <w:abstractNumId w:val="15"/>
  </w:num>
  <w:num w:numId="24">
    <w:abstractNumId w:val="17"/>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num>
  <w:num w:numId="29">
    <w:abstractNumId w:val="19"/>
  </w:num>
  <w:num w:numId="30">
    <w:abstractNumId w:val="18"/>
  </w:num>
  <w:num w:numId="31">
    <w:abstractNumId w:val="28"/>
  </w:num>
  <w:num w:numId="32">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33"/>
  </w:num>
  <w:num w:numId="36">
    <w:abstractNumId w:val="24"/>
  </w:num>
  <w:num w:numId="37">
    <w:abstractNumId w:val="23"/>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95"/>
    <w:rsid w:val="00003531"/>
    <w:rsid w:val="00023BFC"/>
    <w:rsid w:val="00030088"/>
    <w:rsid w:val="000311B7"/>
    <w:rsid w:val="000427F3"/>
    <w:rsid w:val="000431A2"/>
    <w:rsid w:val="0004567B"/>
    <w:rsid w:val="000476BC"/>
    <w:rsid w:val="000504CA"/>
    <w:rsid w:val="000573A2"/>
    <w:rsid w:val="0006535F"/>
    <w:rsid w:val="000728E2"/>
    <w:rsid w:val="00073ADB"/>
    <w:rsid w:val="000816EA"/>
    <w:rsid w:val="0008468F"/>
    <w:rsid w:val="000863CF"/>
    <w:rsid w:val="000A0132"/>
    <w:rsid w:val="000A64FC"/>
    <w:rsid w:val="000A6E48"/>
    <w:rsid w:val="000B5FA4"/>
    <w:rsid w:val="000B64F3"/>
    <w:rsid w:val="000C05F5"/>
    <w:rsid w:val="000C2097"/>
    <w:rsid w:val="000C2B34"/>
    <w:rsid w:val="000C4587"/>
    <w:rsid w:val="000C7BD3"/>
    <w:rsid w:val="000D431C"/>
    <w:rsid w:val="000E4F8D"/>
    <w:rsid w:val="000F0C88"/>
    <w:rsid w:val="0010622C"/>
    <w:rsid w:val="001072F4"/>
    <w:rsid w:val="001116B9"/>
    <w:rsid w:val="00112350"/>
    <w:rsid w:val="0011398A"/>
    <w:rsid w:val="00117A67"/>
    <w:rsid w:val="00122B48"/>
    <w:rsid w:val="00123B22"/>
    <w:rsid w:val="00126094"/>
    <w:rsid w:val="00132661"/>
    <w:rsid w:val="00133020"/>
    <w:rsid w:val="001426A5"/>
    <w:rsid w:val="00146C3F"/>
    <w:rsid w:val="001515D7"/>
    <w:rsid w:val="0015400D"/>
    <w:rsid w:val="00154B24"/>
    <w:rsid w:val="00161C8B"/>
    <w:rsid w:val="001630DA"/>
    <w:rsid w:val="00170F7C"/>
    <w:rsid w:val="001712A3"/>
    <w:rsid w:val="00171F8F"/>
    <w:rsid w:val="001729B8"/>
    <w:rsid w:val="00175A96"/>
    <w:rsid w:val="00177CD6"/>
    <w:rsid w:val="00184F25"/>
    <w:rsid w:val="00185027"/>
    <w:rsid w:val="00195C83"/>
    <w:rsid w:val="001A0A0B"/>
    <w:rsid w:val="001A414B"/>
    <w:rsid w:val="001A4CEE"/>
    <w:rsid w:val="001C6529"/>
    <w:rsid w:val="001D1439"/>
    <w:rsid w:val="001D55C1"/>
    <w:rsid w:val="001D7C07"/>
    <w:rsid w:val="001F4FBD"/>
    <w:rsid w:val="002052C6"/>
    <w:rsid w:val="00211573"/>
    <w:rsid w:val="00212477"/>
    <w:rsid w:val="00212AF4"/>
    <w:rsid w:val="002137CC"/>
    <w:rsid w:val="002154B8"/>
    <w:rsid w:val="002162EA"/>
    <w:rsid w:val="00222B47"/>
    <w:rsid w:val="002249C2"/>
    <w:rsid w:val="0023204D"/>
    <w:rsid w:val="002427B2"/>
    <w:rsid w:val="00242B6D"/>
    <w:rsid w:val="00243DE0"/>
    <w:rsid w:val="0025103C"/>
    <w:rsid w:val="00254D2B"/>
    <w:rsid w:val="00275E52"/>
    <w:rsid w:val="002906D5"/>
    <w:rsid w:val="00293396"/>
    <w:rsid w:val="002B1A81"/>
    <w:rsid w:val="002B3E29"/>
    <w:rsid w:val="002B5672"/>
    <w:rsid w:val="002B6404"/>
    <w:rsid w:val="002C337F"/>
    <w:rsid w:val="002E2224"/>
    <w:rsid w:val="002E3FA5"/>
    <w:rsid w:val="002E424E"/>
    <w:rsid w:val="002E7425"/>
    <w:rsid w:val="003078C3"/>
    <w:rsid w:val="0031544F"/>
    <w:rsid w:val="0031789E"/>
    <w:rsid w:val="003217ED"/>
    <w:rsid w:val="003254CF"/>
    <w:rsid w:val="003329F0"/>
    <w:rsid w:val="003337C6"/>
    <w:rsid w:val="00336DB8"/>
    <w:rsid w:val="00344975"/>
    <w:rsid w:val="00345F77"/>
    <w:rsid w:val="00355186"/>
    <w:rsid w:val="003555DB"/>
    <w:rsid w:val="0036305E"/>
    <w:rsid w:val="00365DF8"/>
    <w:rsid w:val="0037518E"/>
    <w:rsid w:val="003753F8"/>
    <w:rsid w:val="0038685C"/>
    <w:rsid w:val="003A1D26"/>
    <w:rsid w:val="003B15CF"/>
    <w:rsid w:val="003B4288"/>
    <w:rsid w:val="003B6162"/>
    <w:rsid w:val="003B6F7C"/>
    <w:rsid w:val="004038D3"/>
    <w:rsid w:val="0041035C"/>
    <w:rsid w:val="0041035F"/>
    <w:rsid w:val="00412C44"/>
    <w:rsid w:val="0041572F"/>
    <w:rsid w:val="00427E40"/>
    <w:rsid w:val="0043142C"/>
    <w:rsid w:val="00431E84"/>
    <w:rsid w:val="00442578"/>
    <w:rsid w:val="004538C0"/>
    <w:rsid w:val="004578DF"/>
    <w:rsid w:val="00457D15"/>
    <w:rsid w:val="00460C6C"/>
    <w:rsid w:val="00460CFB"/>
    <w:rsid w:val="00472527"/>
    <w:rsid w:val="00474DCB"/>
    <w:rsid w:val="0047713F"/>
    <w:rsid w:val="0048036A"/>
    <w:rsid w:val="00481DB8"/>
    <w:rsid w:val="004847E2"/>
    <w:rsid w:val="00486D09"/>
    <w:rsid w:val="00497109"/>
    <w:rsid w:val="004A790B"/>
    <w:rsid w:val="004B03AE"/>
    <w:rsid w:val="004B6877"/>
    <w:rsid w:val="004C5F5B"/>
    <w:rsid w:val="004C5FD2"/>
    <w:rsid w:val="004D0356"/>
    <w:rsid w:val="004D1687"/>
    <w:rsid w:val="004E38EE"/>
    <w:rsid w:val="004F0E9F"/>
    <w:rsid w:val="004F6766"/>
    <w:rsid w:val="004F7E37"/>
    <w:rsid w:val="00512C6A"/>
    <w:rsid w:val="00530000"/>
    <w:rsid w:val="00535942"/>
    <w:rsid w:val="00542CB6"/>
    <w:rsid w:val="005444B5"/>
    <w:rsid w:val="005453BB"/>
    <w:rsid w:val="00546697"/>
    <w:rsid w:val="00556B67"/>
    <w:rsid w:val="005615B0"/>
    <w:rsid w:val="005628CF"/>
    <w:rsid w:val="00563574"/>
    <w:rsid w:val="005732C8"/>
    <w:rsid w:val="0057539D"/>
    <w:rsid w:val="005772EF"/>
    <w:rsid w:val="00595775"/>
    <w:rsid w:val="00596FBC"/>
    <w:rsid w:val="005A083F"/>
    <w:rsid w:val="005A095F"/>
    <w:rsid w:val="005A5714"/>
    <w:rsid w:val="005B10F7"/>
    <w:rsid w:val="005C08B0"/>
    <w:rsid w:val="005D5A46"/>
    <w:rsid w:val="005E0FA8"/>
    <w:rsid w:val="005E3CD9"/>
    <w:rsid w:val="005E68BF"/>
    <w:rsid w:val="005F37B5"/>
    <w:rsid w:val="005F7024"/>
    <w:rsid w:val="0061039E"/>
    <w:rsid w:val="00622C51"/>
    <w:rsid w:val="00626538"/>
    <w:rsid w:val="00631D4B"/>
    <w:rsid w:val="00636516"/>
    <w:rsid w:val="006429D0"/>
    <w:rsid w:val="00645656"/>
    <w:rsid w:val="0066424A"/>
    <w:rsid w:val="00664DFF"/>
    <w:rsid w:val="006653F5"/>
    <w:rsid w:val="00683FBF"/>
    <w:rsid w:val="00685AD9"/>
    <w:rsid w:val="00685D26"/>
    <w:rsid w:val="006A09BE"/>
    <w:rsid w:val="006A2A0A"/>
    <w:rsid w:val="006A50F4"/>
    <w:rsid w:val="006B021C"/>
    <w:rsid w:val="006B4BC7"/>
    <w:rsid w:val="006C1359"/>
    <w:rsid w:val="006C4A60"/>
    <w:rsid w:val="006D076A"/>
    <w:rsid w:val="006D1C4A"/>
    <w:rsid w:val="006D2095"/>
    <w:rsid w:val="006D2D42"/>
    <w:rsid w:val="006D4FE0"/>
    <w:rsid w:val="006E4963"/>
    <w:rsid w:val="006F32E0"/>
    <w:rsid w:val="006F5460"/>
    <w:rsid w:val="00705BD4"/>
    <w:rsid w:val="007139EA"/>
    <w:rsid w:val="00722964"/>
    <w:rsid w:val="00725E04"/>
    <w:rsid w:val="00732EE3"/>
    <w:rsid w:val="007455E2"/>
    <w:rsid w:val="00751910"/>
    <w:rsid w:val="0075505D"/>
    <w:rsid w:val="00757484"/>
    <w:rsid w:val="007602C7"/>
    <w:rsid w:val="00766CBF"/>
    <w:rsid w:val="00776422"/>
    <w:rsid w:val="00784402"/>
    <w:rsid w:val="00784DA7"/>
    <w:rsid w:val="00785BF9"/>
    <w:rsid w:val="00791CBB"/>
    <w:rsid w:val="007920F9"/>
    <w:rsid w:val="00795BCD"/>
    <w:rsid w:val="00796595"/>
    <w:rsid w:val="007A7849"/>
    <w:rsid w:val="007A7B76"/>
    <w:rsid w:val="007B13E4"/>
    <w:rsid w:val="007B2377"/>
    <w:rsid w:val="007B4C01"/>
    <w:rsid w:val="007C3D34"/>
    <w:rsid w:val="007C767E"/>
    <w:rsid w:val="007D0EA5"/>
    <w:rsid w:val="007D418C"/>
    <w:rsid w:val="007D5EE5"/>
    <w:rsid w:val="007E0DFE"/>
    <w:rsid w:val="007E1E7B"/>
    <w:rsid w:val="007E6829"/>
    <w:rsid w:val="007F66BB"/>
    <w:rsid w:val="00803E31"/>
    <w:rsid w:val="0081000D"/>
    <w:rsid w:val="008207FF"/>
    <w:rsid w:val="00825E52"/>
    <w:rsid w:val="008277D1"/>
    <w:rsid w:val="00827D20"/>
    <w:rsid w:val="008368E7"/>
    <w:rsid w:val="008433EB"/>
    <w:rsid w:val="00852EA6"/>
    <w:rsid w:val="00854597"/>
    <w:rsid w:val="00854D3D"/>
    <w:rsid w:val="00864AAC"/>
    <w:rsid w:val="0086550F"/>
    <w:rsid w:val="008733C8"/>
    <w:rsid w:val="008748DC"/>
    <w:rsid w:val="00880E4C"/>
    <w:rsid w:val="00882B15"/>
    <w:rsid w:val="0088602F"/>
    <w:rsid w:val="008902F3"/>
    <w:rsid w:val="0089212E"/>
    <w:rsid w:val="00893939"/>
    <w:rsid w:val="008A48D7"/>
    <w:rsid w:val="008A7404"/>
    <w:rsid w:val="008B2C74"/>
    <w:rsid w:val="008C11A5"/>
    <w:rsid w:val="008C48BB"/>
    <w:rsid w:val="008D0C83"/>
    <w:rsid w:val="008D262F"/>
    <w:rsid w:val="008D2A37"/>
    <w:rsid w:val="008D2B23"/>
    <w:rsid w:val="008D333C"/>
    <w:rsid w:val="008D487C"/>
    <w:rsid w:val="008D4F1D"/>
    <w:rsid w:val="008D664E"/>
    <w:rsid w:val="008E0157"/>
    <w:rsid w:val="008E62DD"/>
    <w:rsid w:val="008E7990"/>
    <w:rsid w:val="008F38D6"/>
    <w:rsid w:val="008F5D31"/>
    <w:rsid w:val="00905B72"/>
    <w:rsid w:val="00913851"/>
    <w:rsid w:val="009161F1"/>
    <w:rsid w:val="0092179E"/>
    <w:rsid w:val="00930847"/>
    <w:rsid w:val="00936216"/>
    <w:rsid w:val="00940968"/>
    <w:rsid w:val="009502B1"/>
    <w:rsid w:val="00960CD4"/>
    <w:rsid w:val="00964C18"/>
    <w:rsid w:val="0096547E"/>
    <w:rsid w:val="009725CF"/>
    <w:rsid w:val="00991F33"/>
    <w:rsid w:val="009A2385"/>
    <w:rsid w:val="009A3747"/>
    <w:rsid w:val="009B1554"/>
    <w:rsid w:val="009C19E8"/>
    <w:rsid w:val="009E3342"/>
    <w:rsid w:val="009F24C7"/>
    <w:rsid w:val="009F26ED"/>
    <w:rsid w:val="00A03E5B"/>
    <w:rsid w:val="00A11944"/>
    <w:rsid w:val="00A26E06"/>
    <w:rsid w:val="00A27630"/>
    <w:rsid w:val="00A33234"/>
    <w:rsid w:val="00A34B27"/>
    <w:rsid w:val="00A40FC6"/>
    <w:rsid w:val="00A45226"/>
    <w:rsid w:val="00A57527"/>
    <w:rsid w:val="00A57B22"/>
    <w:rsid w:val="00A60AFD"/>
    <w:rsid w:val="00A75C3E"/>
    <w:rsid w:val="00A76BA4"/>
    <w:rsid w:val="00A9418F"/>
    <w:rsid w:val="00A94C9A"/>
    <w:rsid w:val="00A96CB0"/>
    <w:rsid w:val="00AA2CF6"/>
    <w:rsid w:val="00AA747F"/>
    <w:rsid w:val="00AB4AA5"/>
    <w:rsid w:val="00AB67C6"/>
    <w:rsid w:val="00AC2732"/>
    <w:rsid w:val="00AC4EFE"/>
    <w:rsid w:val="00AC5A22"/>
    <w:rsid w:val="00AC6BA7"/>
    <w:rsid w:val="00AE12C9"/>
    <w:rsid w:val="00AE27A1"/>
    <w:rsid w:val="00AE5075"/>
    <w:rsid w:val="00AF04B4"/>
    <w:rsid w:val="00AF3E98"/>
    <w:rsid w:val="00B00905"/>
    <w:rsid w:val="00B019AD"/>
    <w:rsid w:val="00B10596"/>
    <w:rsid w:val="00B23F2A"/>
    <w:rsid w:val="00B27146"/>
    <w:rsid w:val="00B434B6"/>
    <w:rsid w:val="00B46992"/>
    <w:rsid w:val="00B506A7"/>
    <w:rsid w:val="00B52D65"/>
    <w:rsid w:val="00B53097"/>
    <w:rsid w:val="00B573F7"/>
    <w:rsid w:val="00B7089F"/>
    <w:rsid w:val="00B7461D"/>
    <w:rsid w:val="00B748B1"/>
    <w:rsid w:val="00B8048C"/>
    <w:rsid w:val="00B805DB"/>
    <w:rsid w:val="00B80B47"/>
    <w:rsid w:val="00B90587"/>
    <w:rsid w:val="00B913C6"/>
    <w:rsid w:val="00B953CF"/>
    <w:rsid w:val="00B95CA0"/>
    <w:rsid w:val="00BC0210"/>
    <w:rsid w:val="00BC0B31"/>
    <w:rsid w:val="00BD0483"/>
    <w:rsid w:val="00BD4B6F"/>
    <w:rsid w:val="00BD6230"/>
    <w:rsid w:val="00BE79CF"/>
    <w:rsid w:val="00BF286A"/>
    <w:rsid w:val="00BF39C8"/>
    <w:rsid w:val="00BF5157"/>
    <w:rsid w:val="00BF5799"/>
    <w:rsid w:val="00C065BE"/>
    <w:rsid w:val="00C10FDF"/>
    <w:rsid w:val="00C129E1"/>
    <w:rsid w:val="00C179FC"/>
    <w:rsid w:val="00C247B2"/>
    <w:rsid w:val="00C26BA8"/>
    <w:rsid w:val="00C30A73"/>
    <w:rsid w:val="00C4579A"/>
    <w:rsid w:val="00C54980"/>
    <w:rsid w:val="00C6055B"/>
    <w:rsid w:val="00C607B8"/>
    <w:rsid w:val="00C867C9"/>
    <w:rsid w:val="00C92CC1"/>
    <w:rsid w:val="00C9363D"/>
    <w:rsid w:val="00CB051B"/>
    <w:rsid w:val="00CC38D0"/>
    <w:rsid w:val="00CD0606"/>
    <w:rsid w:val="00CD2593"/>
    <w:rsid w:val="00CD3ABA"/>
    <w:rsid w:val="00CD75FC"/>
    <w:rsid w:val="00CE0DB3"/>
    <w:rsid w:val="00D13F13"/>
    <w:rsid w:val="00D159B3"/>
    <w:rsid w:val="00D15F2A"/>
    <w:rsid w:val="00D25729"/>
    <w:rsid w:val="00D2586D"/>
    <w:rsid w:val="00D329CE"/>
    <w:rsid w:val="00D33239"/>
    <w:rsid w:val="00D419F2"/>
    <w:rsid w:val="00D41F2B"/>
    <w:rsid w:val="00D46058"/>
    <w:rsid w:val="00D46084"/>
    <w:rsid w:val="00D5299B"/>
    <w:rsid w:val="00D62357"/>
    <w:rsid w:val="00D654B1"/>
    <w:rsid w:val="00D65FF0"/>
    <w:rsid w:val="00D7191A"/>
    <w:rsid w:val="00D75C32"/>
    <w:rsid w:val="00D87971"/>
    <w:rsid w:val="00D9022E"/>
    <w:rsid w:val="00D960EE"/>
    <w:rsid w:val="00DB563E"/>
    <w:rsid w:val="00DB6E78"/>
    <w:rsid w:val="00DC2CCB"/>
    <w:rsid w:val="00DD449A"/>
    <w:rsid w:val="00DD6C58"/>
    <w:rsid w:val="00DF0977"/>
    <w:rsid w:val="00DF2E93"/>
    <w:rsid w:val="00DF702A"/>
    <w:rsid w:val="00E018A6"/>
    <w:rsid w:val="00E1060F"/>
    <w:rsid w:val="00E11B9D"/>
    <w:rsid w:val="00E1458A"/>
    <w:rsid w:val="00E1461B"/>
    <w:rsid w:val="00E16541"/>
    <w:rsid w:val="00E17858"/>
    <w:rsid w:val="00E22271"/>
    <w:rsid w:val="00E27339"/>
    <w:rsid w:val="00E279F4"/>
    <w:rsid w:val="00E32647"/>
    <w:rsid w:val="00E431ED"/>
    <w:rsid w:val="00E43AAC"/>
    <w:rsid w:val="00E4670B"/>
    <w:rsid w:val="00E51A30"/>
    <w:rsid w:val="00E70755"/>
    <w:rsid w:val="00E71989"/>
    <w:rsid w:val="00E72F46"/>
    <w:rsid w:val="00E846EE"/>
    <w:rsid w:val="00E96DA3"/>
    <w:rsid w:val="00EB3AB3"/>
    <w:rsid w:val="00EC145C"/>
    <w:rsid w:val="00EC1995"/>
    <w:rsid w:val="00EC222E"/>
    <w:rsid w:val="00ED2344"/>
    <w:rsid w:val="00ED7223"/>
    <w:rsid w:val="00ED76C6"/>
    <w:rsid w:val="00ED7C6B"/>
    <w:rsid w:val="00EE02B5"/>
    <w:rsid w:val="00EE0DE8"/>
    <w:rsid w:val="00EE79AA"/>
    <w:rsid w:val="00F10B39"/>
    <w:rsid w:val="00F11DF1"/>
    <w:rsid w:val="00F162A9"/>
    <w:rsid w:val="00F16E93"/>
    <w:rsid w:val="00F21428"/>
    <w:rsid w:val="00F31A9A"/>
    <w:rsid w:val="00F3312F"/>
    <w:rsid w:val="00F35921"/>
    <w:rsid w:val="00F365C2"/>
    <w:rsid w:val="00F40C76"/>
    <w:rsid w:val="00F44020"/>
    <w:rsid w:val="00F62D21"/>
    <w:rsid w:val="00F7112D"/>
    <w:rsid w:val="00F712A1"/>
    <w:rsid w:val="00F74594"/>
    <w:rsid w:val="00F84B81"/>
    <w:rsid w:val="00F92138"/>
    <w:rsid w:val="00F943B5"/>
    <w:rsid w:val="00FA0543"/>
    <w:rsid w:val="00FA32B2"/>
    <w:rsid w:val="00FA57B7"/>
    <w:rsid w:val="00FA7B18"/>
    <w:rsid w:val="00FB5E96"/>
    <w:rsid w:val="00FD72B6"/>
    <w:rsid w:val="00FD7E24"/>
    <w:rsid w:val="00FE19EF"/>
    <w:rsid w:val="00FE1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E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78"/>
    <w:pPr>
      <w:spacing w:after="0" w:line="240" w:lineRule="auto"/>
    </w:pPr>
    <w:rPr>
      <w:rFonts w:eastAsia="Times New Roman" w:cs="Times New Roman"/>
      <w:sz w:val="24"/>
      <w:szCs w:val="20"/>
    </w:rPr>
  </w:style>
  <w:style w:type="paragraph" w:styleId="Heading1">
    <w:name w:val="heading 1"/>
    <w:aliases w:val="Schedule Heading"/>
    <w:basedOn w:val="Normal"/>
    <w:next w:val="Normal"/>
    <w:link w:val="Heading1Char"/>
    <w:uiPriority w:val="9"/>
    <w:qFormat/>
    <w:rsid w:val="00796595"/>
    <w:pPr>
      <w:keepNext/>
      <w:spacing w:before="480" w:after="180"/>
      <w:outlineLvl w:val="0"/>
    </w:pPr>
    <w:rPr>
      <w:rFonts w:ascii="Consolas" w:hAnsi="Consolas" w:cs="Arial"/>
      <w:bCs/>
      <w:caps/>
      <w:color w:val="C00000"/>
      <w:kern w:val="32"/>
      <w:sz w:val="32"/>
      <w:szCs w:val="36"/>
      <w:lang w:eastAsia="en-AU"/>
    </w:rPr>
  </w:style>
  <w:style w:type="paragraph" w:styleId="Heading2">
    <w:name w:val="heading 2"/>
    <w:basedOn w:val="Normal"/>
    <w:next w:val="Normal"/>
    <w:link w:val="Heading2Char"/>
    <w:uiPriority w:val="9"/>
    <w:qFormat/>
    <w:rsid w:val="00796595"/>
    <w:pPr>
      <w:keepNext/>
      <w:spacing w:before="180" w:after="120"/>
      <w:outlineLvl w:val="1"/>
    </w:pPr>
    <w:rPr>
      <w:rFonts w:ascii="Corbel" w:hAnsi="Corbel" w:cs="Arial"/>
      <w:b/>
      <w:bCs/>
      <w:iCs/>
      <w:color w:val="1F497D"/>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Heading Char"/>
    <w:basedOn w:val="DefaultParagraphFont"/>
    <w:link w:val="Heading1"/>
    <w:uiPriority w:val="9"/>
    <w:rsid w:val="00796595"/>
    <w:rPr>
      <w:rFonts w:ascii="Consolas" w:eastAsia="Times New Roman" w:hAnsi="Consolas" w:cs="Arial"/>
      <w:bCs/>
      <w:caps/>
      <w:color w:val="C00000"/>
      <w:kern w:val="32"/>
      <w:sz w:val="32"/>
      <w:szCs w:val="36"/>
      <w:lang w:eastAsia="en-AU"/>
    </w:rPr>
  </w:style>
  <w:style w:type="character" w:customStyle="1" w:styleId="Heading2Char">
    <w:name w:val="Heading 2 Char"/>
    <w:basedOn w:val="DefaultParagraphFont"/>
    <w:link w:val="Heading2"/>
    <w:uiPriority w:val="9"/>
    <w:rsid w:val="00796595"/>
    <w:rPr>
      <w:rFonts w:ascii="Corbel" w:eastAsia="Times New Roman" w:hAnsi="Corbel" w:cs="Arial"/>
      <w:b/>
      <w:bCs/>
      <w:iCs/>
      <w:color w:val="1F497D"/>
      <w:sz w:val="28"/>
      <w:szCs w:val="28"/>
      <w:lang w:eastAsia="en-AU"/>
    </w:rPr>
  </w:style>
  <w:style w:type="paragraph" w:styleId="Header">
    <w:name w:val="header"/>
    <w:basedOn w:val="Normal"/>
    <w:link w:val="HeaderChar"/>
    <w:uiPriority w:val="99"/>
    <w:unhideWhenUsed/>
    <w:rsid w:val="00796595"/>
    <w:pPr>
      <w:tabs>
        <w:tab w:val="center" w:pos="4513"/>
        <w:tab w:val="right" w:pos="9026"/>
      </w:tabs>
    </w:pPr>
  </w:style>
  <w:style w:type="character" w:customStyle="1" w:styleId="HeaderChar">
    <w:name w:val="Header Char"/>
    <w:basedOn w:val="DefaultParagraphFont"/>
    <w:link w:val="Header"/>
    <w:uiPriority w:val="99"/>
    <w:rsid w:val="00796595"/>
    <w:rPr>
      <w:rFonts w:ascii="Times New Roman" w:eastAsia="Times New Roman" w:hAnsi="Times New Roman" w:cs="Times New Roman"/>
      <w:sz w:val="24"/>
      <w:szCs w:val="20"/>
    </w:rPr>
  </w:style>
  <w:style w:type="paragraph" w:styleId="ListParagraph">
    <w:name w:val="List Paragraph"/>
    <w:aliases w:val="List Paragraph1,List Paragraph11,Bullet point,List Paragraph111,L,F5 List Paragraph,Dot pt,CV text,Table text,Medium Grid 1 - Accent 21,Numbered Paragraph,List Paragraph2,NFP GP Bulleted List,FooterText,numbered,列出段,列,列出段落,Body text,リスト段落"/>
    <w:basedOn w:val="Normal"/>
    <w:link w:val="ListParagraphChar"/>
    <w:uiPriority w:val="34"/>
    <w:qFormat/>
    <w:rsid w:val="00796595"/>
    <w:pPr>
      <w:spacing w:after="200" w:line="276" w:lineRule="auto"/>
      <w:ind w:left="720"/>
      <w:contextualSpacing/>
    </w:pPr>
    <w:rPr>
      <w:rFonts w:eastAsiaTheme="minorHAnsi" w:cstheme="minorBidi"/>
      <w:sz w:val="22"/>
      <w:szCs w:val="22"/>
    </w:rPr>
  </w:style>
  <w:style w:type="paragraph" w:customStyle="1" w:styleId="Normalnumbered">
    <w:name w:val="Normal numbered"/>
    <w:basedOn w:val="Normal"/>
    <w:link w:val="NormalnumberedChar"/>
    <w:uiPriority w:val="99"/>
    <w:qFormat/>
    <w:rsid w:val="00796595"/>
    <w:pPr>
      <w:spacing w:after="240" w:line="260" w:lineRule="exact"/>
    </w:pPr>
    <w:rPr>
      <w:rFonts w:ascii="Calibri" w:hAnsi="Calibri"/>
      <w:szCs w:val="24"/>
      <w:lang w:eastAsia="en-AU"/>
    </w:rPr>
  </w:style>
  <w:style w:type="character" w:customStyle="1" w:styleId="NormalnumberedChar">
    <w:name w:val="Normal numbered Char"/>
    <w:basedOn w:val="DefaultParagraphFont"/>
    <w:link w:val="Normalnumbered"/>
    <w:uiPriority w:val="99"/>
    <w:locked/>
    <w:rsid w:val="00796595"/>
    <w:rPr>
      <w:rFonts w:ascii="Calibri" w:eastAsia="Times New Roman" w:hAnsi="Calibri" w:cs="Times New Roman"/>
      <w:sz w:val="24"/>
      <w:szCs w:val="24"/>
      <w:lang w:eastAsia="en-AU"/>
    </w:rPr>
  </w:style>
  <w:style w:type="character" w:styleId="LineNumber">
    <w:name w:val="line number"/>
    <w:basedOn w:val="DefaultParagraphFont"/>
    <w:uiPriority w:val="99"/>
    <w:semiHidden/>
    <w:unhideWhenUsed/>
    <w:rsid w:val="000D431C"/>
    <w:rPr>
      <w:rFonts w:asciiTheme="minorHAnsi" w:hAnsiTheme="minorHAnsi"/>
    </w:rPr>
  </w:style>
  <w:style w:type="paragraph" w:styleId="Footer">
    <w:name w:val="footer"/>
    <w:basedOn w:val="Normal"/>
    <w:link w:val="FooterChar"/>
    <w:uiPriority w:val="99"/>
    <w:unhideWhenUsed/>
    <w:rsid w:val="00FD7E24"/>
    <w:pPr>
      <w:tabs>
        <w:tab w:val="center" w:pos="4513"/>
        <w:tab w:val="right" w:pos="9026"/>
      </w:tabs>
    </w:pPr>
  </w:style>
  <w:style w:type="character" w:customStyle="1" w:styleId="FooterChar">
    <w:name w:val="Footer Char"/>
    <w:basedOn w:val="DefaultParagraphFont"/>
    <w:link w:val="Footer"/>
    <w:uiPriority w:val="99"/>
    <w:rsid w:val="00FD7E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2CF6"/>
    <w:rPr>
      <w:rFonts w:ascii="Tahoma" w:hAnsi="Tahoma" w:cs="Tahoma"/>
      <w:sz w:val="16"/>
      <w:szCs w:val="16"/>
    </w:rPr>
  </w:style>
  <w:style w:type="character" w:customStyle="1" w:styleId="BalloonTextChar">
    <w:name w:val="Balloon Text Char"/>
    <w:basedOn w:val="DefaultParagraphFont"/>
    <w:link w:val="BalloonText"/>
    <w:uiPriority w:val="99"/>
    <w:semiHidden/>
    <w:rsid w:val="00AA2C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7A67"/>
    <w:rPr>
      <w:sz w:val="16"/>
      <w:szCs w:val="16"/>
    </w:rPr>
  </w:style>
  <w:style w:type="paragraph" w:styleId="CommentText">
    <w:name w:val="annotation text"/>
    <w:basedOn w:val="Normal"/>
    <w:link w:val="CommentTextChar"/>
    <w:uiPriority w:val="99"/>
    <w:unhideWhenUsed/>
    <w:rsid w:val="00117A67"/>
    <w:rPr>
      <w:sz w:val="20"/>
    </w:rPr>
  </w:style>
  <w:style w:type="character" w:customStyle="1" w:styleId="CommentTextChar">
    <w:name w:val="Comment Text Char"/>
    <w:basedOn w:val="DefaultParagraphFont"/>
    <w:link w:val="CommentText"/>
    <w:uiPriority w:val="99"/>
    <w:rsid w:val="00117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7A67"/>
    <w:rPr>
      <w:b/>
      <w:bCs/>
    </w:rPr>
  </w:style>
  <w:style w:type="character" w:customStyle="1" w:styleId="CommentSubjectChar">
    <w:name w:val="Comment Subject Char"/>
    <w:basedOn w:val="CommentTextChar"/>
    <w:link w:val="CommentSubject"/>
    <w:uiPriority w:val="99"/>
    <w:semiHidden/>
    <w:rsid w:val="00117A67"/>
    <w:rPr>
      <w:rFonts w:ascii="Times New Roman" w:eastAsia="Times New Roman" w:hAnsi="Times New Roman" w:cs="Times New Roman"/>
      <w:b/>
      <w:bCs/>
      <w:sz w:val="20"/>
      <w:szCs w:val="20"/>
    </w:rPr>
  </w:style>
  <w:style w:type="paragraph" w:styleId="Revision">
    <w:name w:val="Revision"/>
    <w:hidden/>
    <w:uiPriority w:val="99"/>
    <w:semiHidden/>
    <w:rsid w:val="00F2142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9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7461D"/>
    <w:pPr>
      <w:spacing w:before="100" w:after="100"/>
    </w:pPr>
  </w:style>
  <w:style w:type="character" w:customStyle="1" w:styleId="BodyTextChar">
    <w:name w:val="Body Text Char"/>
    <w:basedOn w:val="DefaultParagraphFont"/>
    <w:link w:val="BodyText"/>
    <w:semiHidden/>
    <w:rsid w:val="00B7461D"/>
    <w:rPr>
      <w:rFonts w:ascii="Times New Roman" w:eastAsia="Times New Roman" w:hAnsi="Times New Roman" w:cs="Times New Roman"/>
      <w:sz w:val="24"/>
      <w:szCs w:val="20"/>
    </w:rPr>
  </w:style>
  <w:style w:type="character" w:customStyle="1" w:styleId="ListParagraphChar">
    <w:name w:val="List Paragraph Char"/>
    <w:aliases w:val="List Paragraph1 Char,List Paragraph11 Char,Bullet point Char,List Paragraph111 Char,L Char,F5 List Paragraph Char,Dot pt Char,CV text Char,Table text Char,Medium Grid 1 - Accent 21 Char,Numbered Paragraph Char,List Paragraph2 Char"/>
    <w:basedOn w:val="DefaultParagraphFont"/>
    <w:link w:val="ListParagraph"/>
    <w:uiPriority w:val="34"/>
    <w:locked/>
    <w:rsid w:val="00B7461D"/>
  </w:style>
  <w:style w:type="character" w:customStyle="1" w:styleId="Emphasis-Underline">
    <w:name w:val="Emphasis - Underline"/>
    <w:basedOn w:val="DefaultParagraphFont"/>
    <w:rsid w:val="00A94C9A"/>
    <w:rPr>
      <w:u w:val="single"/>
    </w:rPr>
  </w:style>
  <w:style w:type="paragraph" w:customStyle="1" w:styleId="Recommendation">
    <w:name w:val="Recommendation"/>
    <w:basedOn w:val="Normal"/>
    <w:rsid w:val="00A94C9A"/>
    <w:pPr>
      <w:numPr>
        <w:numId w:val="17"/>
      </w:numPr>
    </w:pPr>
  </w:style>
  <w:style w:type="paragraph" w:customStyle="1" w:styleId="Recommendation-SubPoint">
    <w:name w:val="Recommendation - Sub Point"/>
    <w:basedOn w:val="Normal"/>
    <w:rsid w:val="00A94C9A"/>
    <w:pPr>
      <w:numPr>
        <w:ilvl w:val="1"/>
        <w:numId w:val="17"/>
      </w:numPr>
    </w:pPr>
  </w:style>
  <w:style w:type="paragraph" w:customStyle="1" w:styleId="Recommendation-SubSub-point">
    <w:name w:val="Recommendation - Sub Sub-point"/>
    <w:basedOn w:val="Normal"/>
    <w:rsid w:val="00A94C9A"/>
    <w:pPr>
      <w:numPr>
        <w:ilvl w:val="2"/>
        <w:numId w:val="17"/>
      </w:numPr>
    </w:pPr>
  </w:style>
  <w:style w:type="table" w:styleId="LightList-Accent1">
    <w:name w:val="Light List Accent 1"/>
    <w:basedOn w:val="TableNormal"/>
    <w:uiPriority w:val="61"/>
    <w:rsid w:val="000300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AA747F"/>
    <w:pPr>
      <w:spacing w:before="100" w:beforeAutospacing="1" w:after="100" w:afterAutospacing="1"/>
    </w:pPr>
    <w:rPr>
      <w:rFonts w:ascii="Times New Roman" w:eastAsiaTheme="minorHAnsi" w:hAnsi="Times New Roman"/>
      <w:szCs w:val="24"/>
      <w:lang w:eastAsia="en-AU"/>
    </w:rPr>
  </w:style>
  <w:style w:type="paragraph" w:customStyle="1" w:styleId="SingleParagraph">
    <w:name w:val="Single Paragraph"/>
    <w:basedOn w:val="Normal"/>
    <w:rsid w:val="0048036A"/>
    <w:pPr>
      <w:spacing w:line="260" w:lineRule="exact"/>
      <w:jc w:val="both"/>
    </w:pPr>
    <w:rPr>
      <w:rFonts w:ascii="Corbel" w:hAnsi="Corbel"/>
      <w:color w:val="000000"/>
      <w:sz w:val="23"/>
      <w:lang w:eastAsia="en-AU"/>
    </w:rPr>
  </w:style>
  <w:style w:type="character" w:customStyle="1" w:styleId="AlphaParagraphCharChar">
    <w:name w:val="Alpha Paragraph Char Char"/>
    <w:link w:val="AlphaParagraph"/>
    <w:locked/>
    <w:rsid w:val="0048036A"/>
    <w:rPr>
      <w:rFonts w:ascii="Corbel" w:hAnsi="Corbel"/>
      <w:color w:val="000000"/>
      <w:sz w:val="23"/>
    </w:rPr>
  </w:style>
  <w:style w:type="paragraph" w:customStyle="1" w:styleId="AlphaParagraph">
    <w:name w:val="Alpha Paragraph"/>
    <w:basedOn w:val="Normal"/>
    <w:link w:val="AlphaParagraphCharChar"/>
    <w:rsid w:val="0048036A"/>
    <w:pPr>
      <w:tabs>
        <w:tab w:val="num" w:pos="0"/>
        <w:tab w:val="num" w:pos="567"/>
        <w:tab w:val="num" w:pos="1134"/>
      </w:tabs>
      <w:spacing w:after="240" w:line="260" w:lineRule="exact"/>
      <w:ind w:left="567" w:hanging="567"/>
      <w:jc w:val="both"/>
    </w:pPr>
    <w:rPr>
      <w:rFonts w:ascii="Corbel" w:eastAsiaTheme="minorHAnsi" w:hAnsi="Corbel" w:cstheme="minorBidi"/>
      <w:color w:val="000000"/>
      <w:sz w:val="23"/>
      <w:szCs w:val="22"/>
    </w:rPr>
  </w:style>
  <w:style w:type="paragraph" w:customStyle="1" w:styleId="Signed">
    <w:name w:val="Signed"/>
    <w:basedOn w:val="Normal"/>
    <w:rsid w:val="0048036A"/>
    <w:pPr>
      <w:spacing w:after="120"/>
      <w:jc w:val="both"/>
    </w:pPr>
    <w:rPr>
      <w:rFonts w:ascii="Book Antiqua" w:hAnsi="Book Antiqua"/>
      <w:bCs/>
      <w:i/>
      <w:color w:val="000000"/>
      <w:sz w:val="22"/>
      <w:lang w:eastAsia="en-AU"/>
    </w:rPr>
  </w:style>
  <w:style w:type="paragraph" w:customStyle="1" w:styleId="Position">
    <w:name w:val="Position"/>
    <w:basedOn w:val="Normal"/>
    <w:rsid w:val="0048036A"/>
    <w:pPr>
      <w:spacing w:after="120" w:line="260" w:lineRule="exact"/>
      <w:jc w:val="both"/>
    </w:pPr>
    <w:rPr>
      <w:rFonts w:ascii="Corbel" w:hAnsi="Corbel"/>
      <w:bCs/>
      <w:color w:val="000000"/>
      <w:sz w:val="20"/>
      <w:lang w:eastAsia="en-AU"/>
    </w:rPr>
  </w:style>
  <w:style w:type="paragraph" w:customStyle="1" w:styleId="LineForSignature">
    <w:name w:val="LineForSignature"/>
    <w:basedOn w:val="Normal"/>
    <w:rsid w:val="0048036A"/>
    <w:pPr>
      <w:tabs>
        <w:tab w:val="left" w:leader="underscore" w:pos="3686"/>
      </w:tabs>
      <w:spacing w:before="360" w:after="60" w:line="260" w:lineRule="exact"/>
      <w:jc w:val="both"/>
    </w:pPr>
    <w:rPr>
      <w:rFonts w:ascii="Book Antiqua" w:hAnsi="Book Antiqua"/>
      <w:color w:val="C0C0C0"/>
      <w:sz w:val="23"/>
      <w:lang w:val="en-GB" w:eastAsia="en-AU"/>
    </w:rPr>
  </w:style>
  <w:style w:type="character" w:customStyle="1" w:styleId="Bold">
    <w:name w:val="Bold"/>
    <w:rsid w:val="0048036A"/>
    <w:rPr>
      <w:b/>
      <w:bCs w:val="0"/>
    </w:rPr>
  </w:style>
  <w:style w:type="character" w:customStyle="1" w:styleId="SignedBold">
    <w:name w:val="SignedBold"/>
    <w:rsid w:val="0048036A"/>
    <w:rPr>
      <w:b/>
      <w:bCs w:val="0"/>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78"/>
    <w:pPr>
      <w:spacing w:after="0" w:line="240" w:lineRule="auto"/>
    </w:pPr>
    <w:rPr>
      <w:rFonts w:eastAsia="Times New Roman" w:cs="Times New Roman"/>
      <w:sz w:val="24"/>
      <w:szCs w:val="20"/>
    </w:rPr>
  </w:style>
  <w:style w:type="paragraph" w:styleId="Heading1">
    <w:name w:val="heading 1"/>
    <w:aliases w:val="Schedule Heading"/>
    <w:basedOn w:val="Normal"/>
    <w:next w:val="Normal"/>
    <w:link w:val="Heading1Char"/>
    <w:uiPriority w:val="9"/>
    <w:qFormat/>
    <w:rsid w:val="00796595"/>
    <w:pPr>
      <w:keepNext/>
      <w:spacing w:before="480" w:after="180"/>
      <w:outlineLvl w:val="0"/>
    </w:pPr>
    <w:rPr>
      <w:rFonts w:ascii="Consolas" w:hAnsi="Consolas" w:cs="Arial"/>
      <w:bCs/>
      <w:caps/>
      <w:color w:val="C00000"/>
      <w:kern w:val="32"/>
      <w:sz w:val="32"/>
      <w:szCs w:val="36"/>
      <w:lang w:eastAsia="en-AU"/>
    </w:rPr>
  </w:style>
  <w:style w:type="paragraph" w:styleId="Heading2">
    <w:name w:val="heading 2"/>
    <w:basedOn w:val="Normal"/>
    <w:next w:val="Normal"/>
    <w:link w:val="Heading2Char"/>
    <w:uiPriority w:val="9"/>
    <w:qFormat/>
    <w:rsid w:val="00796595"/>
    <w:pPr>
      <w:keepNext/>
      <w:spacing w:before="180" w:after="120"/>
      <w:outlineLvl w:val="1"/>
    </w:pPr>
    <w:rPr>
      <w:rFonts w:ascii="Corbel" w:hAnsi="Corbel" w:cs="Arial"/>
      <w:b/>
      <w:bCs/>
      <w:iCs/>
      <w:color w:val="1F497D"/>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Heading Char"/>
    <w:basedOn w:val="DefaultParagraphFont"/>
    <w:link w:val="Heading1"/>
    <w:uiPriority w:val="9"/>
    <w:rsid w:val="00796595"/>
    <w:rPr>
      <w:rFonts w:ascii="Consolas" w:eastAsia="Times New Roman" w:hAnsi="Consolas" w:cs="Arial"/>
      <w:bCs/>
      <w:caps/>
      <w:color w:val="C00000"/>
      <w:kern w:val="32"/>
      <w:sz w:val="32"/>
      <w:szCs w:val="36"/>
      <w:lang w:eastAsia="en-AU"/>
    </w:rPr>
  </w:style>
  <w:style w:type="character" w:customStyle="1" w:styleId="Heading2Char">
    <w:name w:val="Heading 2 Char"/>
    <w:basedOn w:val="DefaultParagraphFont"/>
    <w:link w:val="Heading2"/>
    <w:uiPriority w:val="9"/>
    <w:rsid w:val="00796595"/>
    <w:rPr>
      <w:rFonts w:ascii="Corbel" w:eastAsia="Times New Roman" w:hAnsi="Corbel" w:cs="Arial"/>
      <w:b/>
      <w:bCs/>
      <w:iCs/>
      <w:color w:val="1F497D"/>
      <w:sz w:val="28"/>
      <w:szCs w:val="28"/>
      <w:lang w:eastAsia="en-AU"/>
    </w:rPr>
  </w:style>
  <w:style w:type="paragraph" w:styleId="Header">
    <w:name w:val="header"/>
    <w:basedOn w:val="Normal"/>
    <w:link w:val="HeaderChar"/>
    <w:uiPriority w:val="99"/>
    <w:unhideWhenUsed/>
    <w:rsid w:val="00796595"/>
    <w:pPr>
      <w:tabs>
        <w:tab w:val="center" w:pos="4513"/>
        <w:tab w:val="right" w:pos="9026"/>
      </w:tabs>
    </w:pPr>
  </w:style>
  <w:style w:type="character" w:customStyle="1" w:styleId="HeaderChar">
    <w:name w:val="Header Char"/>
    <w:basedOn w:val="DefaultParagraphFont"/>
    <w:link w:val="Header"/>
    <w:uiPriority w:val="99"/>
    <w:rsid w:val="00796595"/>
    <w:rPr>
      <w:rFonts w:ascii="Times New Roman" w:eastAsia="Times New Roman" w:hAnsi="Times New Roman" w:cs="Times New Roman"/>
      <w:sz w:val="24"/>
      <w:szCs w:val="20"/>
    </w:rPr>
  </w:style>
  <w:style w:type="paragraph" w:styleId="ListParagraph">
    <w:name w:val="List Paragraph"/>
    <w:aliases w:val="List Paragraph1,List Paragraph11,Bullet point,List Paragraph111,L,F5 List Paragraph,Dot pt,CV text,Table text,Medium Grid 1 - Accent 21,Numbered Paragraph,List Paragraph2,NFP GP Bulleted List,FooterText,numbered,列出段,列,列出段落,Body text,リスト段落"/>
    <w:basedOn w:val="Normal"/>
    <w:link w:val="ListParagraphChar"/>
    <w:uiPriority w:val="34"/>
    <w:qFormat/>
    <w:rsid w:val="00796595"/>
    <w:pPr>
      <w:spacing w:after="200" w:line="276" w:lineRule="auto"/>
      <w:ind w:left="720"/>
      <w:contextualSpacing/>
    </w:pPr>
    <w:rPr>
      <w:rFonts w:eastAsiaTheme="minorHAnsi" w:cstheme="minorBidi"/>
      <w:sz w:val="22"/>
      <w:szCs w:val="22"/>
    </w:rPr>
  </w:style>
  <w:style w:type="paragraph" w:customStyle="1" w:styleId="Normalnumbered">
    <w:name w:val="Normal numbered"/>
    <w:basedOn w:val="Normal"/>
    <w:link w:val="NormalnumberedChar"/>
    <w:uiPriority w:val="99"/>
    <w:qFormat/>
    <w:rsid w:val="00796595"/>
    <w:pPr>
      <w:spacing w:after="240" w:line="260" w:lineRule="exact"/>
    </w:pPr>
    <w:rPr>
      <w:rFonts w:ascii="Calibri" w:hAnsi="Calibri"/>
      <w:szCs w:val="24"/>
      <w:lang w:eastAsia="en-AU"/>
    </w:rPr>
  </w:style>
  <w:style w:type="character" w:customStyle="1" w:styleId="NormalnumberedChar">
    <w:name w:val="Normal numbered Char"/>
    <w:basedOn w:val="DefaultParagraphFont"/>
    <w:link w:val="Normalnumbered"/>
    <w:uiPriority w:val="99"/>
    <w:locked/>
    <w:rsid w:val="00796595"/>
    <w:rPr>
      <w:rFonts w:ascii="Calibri" w:eastAsia="Times New Roman" w:hAnsi="Calibri" w:cs="Times New Roman"/>
      <w:sz w:val="24"/>
      <w:szCs w:val="24"/>
      <w:lang w:eastAsia="en-AU"/>
    </w:rPr>
  </w:style>
  <w:style w:type="character" w:styleId="LineNumber">
    <w:name w:val="line number"/>
    <w:basedOn w:val="DefaultParagraphFont"/>
    <w:uiPriority w:val="99"/>
    <w:semiHidden/>
    <w:unhideWhenUsed/>
    <w:rsid w:val="000D431C"/>
    <w:rPr>
      <w:rFonts w:asciiTheme="minorHAnsi" w:hAnsiTheme="minorHAnsi"/>
    </w:rPr>
  </w:style>
  <w:style w:type="paragraph" w:styleId="Footer">
    <w:name w:val="footer"/>
    <w:basedOn w:val="Normal"/>
    <w:link w:val="FooterChar"/>
    <w:uiPriority w:val="99"/>
    <w:unhideWhenUsed/>
    <w:rsid w:val="00FD7E24"/>
    <w:pPr>
      <w:tabs>
        <w:tab w:val="center" w:pos="4513"/>
        <w:tab w:val="right" w:pos="9026"/>
      </w:tabs>
    </w:pPr>
  </w:style>
  <w:style w:type="character" w:customStyle="1" w:styleId="FooterChar">
    <w:name w:val="Footer Char"/>
    <w:basedOn w:val="DefaultParagraphFont"/>
    <w:link w:val="Footer"/>
    <w:uiPriority w:val="99"/>
    <w:rsid w:val="00FD7E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2CF6"/>
    <w:rPr>
      <w:rFonts w:ascii="Tahoma" w:hAnsi="Tahoma" w:cs="Tahoma"/>
      <w:sz w:val="16"/>
      <w:szCs w:val="16"/>
    </w:rPr>
  </w:style>
  <w:style w:type="character" w:customStyle="1" w:styleId="BalloonTextChar">
    <w:name w:val="Balloon Text Char"/>
    <w:basedOn w:val="DefaultParagraphFont"/>
    <w:link w:val="BalloonText"/>
    <w:uiPriority w:val="99"/>
    <w:semiHidden/>
    <w:rsid w:val="00AA2C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7A67"/>
    <w:rPr>
      <w:sz w:val="16"/>
      <w:szCs w:val="16"/>
    </w:rPr>
  </w:style>
  <w:style w:type="paragraph" w:styleId="CommentText">
    <w:name w:val="annotation text"/>
    <w:basedOn w:val="Normal"/>
    <w:link w:val="CommentTextChar"/>
    <w:uiPriority w:val="99"/>
    <w:unhideWhenUsed/>
    <w:rsid w:val="00117A67"/>
    <w:rPr>
      <w:sz w:val="20"/>
    </w:rPr>
  </w:style>
  <w:style w:type="character" w:customStyle="1" w:styleId="CommentTextChar">
    <w:name w:val="Comment Text Char"/>
    <w:basedOn w:val="DefaultParagraphFont"/>
    <w:link w:val="CommentText"/>
    <w:uiPriority w:val="99"/>
    <w:rsid w:val="00117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7A67"/>
    <w:rPr>
      <w:b/>
      <w:bCs/>
    </w:rPr>
  </w:style>
  <w:style w:type="character" w:customStyle="1" w:styleId="CommentSubjectChar">
    <w:name w:val="Comment Subject Char"/>
    <w:basedOn w:val="CommentTextChar"/>
    <w:link w:val="CommentSubject"/>
    <w:uiPriority w:val="99"/>
    <w:semiHidden/>
    <w:rsid w:val="00117A67"/>
    <w:rPr>
      <w:rFonts w:ascii="Times New Roman" w:eastAsia="Times New Roman" w:hAnsi="Times New Roman" w:cs="Times New Roman"/>
      <w:b/>
      <w:bCs/>
      <w:sz w:val="20"/>
      <w:szCs w:val="20"/>
    </w:rPr>
  </w:style>
  <w:style w:type="paragraph" w:styleId="Revision">
    <w:name w:val="Revision"/>
    <w:hidden/>
    <w:uiPriority w:val="99"/>
    <w:semiHidden/>
    <w:rsid w:val="00F2142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9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7461D"/>
    <w:pPr>
      <w:spacing w:before="100" w:after="100"/>
    </w:pPr>
  </w:style>
  <w:style w:type="character" w:customStyle="1" w:styleId="BodyTextChar">
    <w:name w:val="Body Text Char"/>
    <w:basedOn w:val="DefaultParagraphFont"/>
    <w:link w:val="BodyText"/>
    <w:semiHidden/>
    <w:rsid w:val="00B7461D"/>
    <w:rPr>
      <w:rFonts w:ascii="Times New Roman" w:eastAsia="Times New Roman" w:hAnsi="Times New Roman" w:cs="Times New Roman"/>
      <w:sz w:val="24"/>
      <w:szCs w:val="20"/>
    </w:rPr>
  </w:style>
  <w:style w:type="character" w:customStyle="1" w:styleId="ListParagraphChar">
    <w:name w:val="List Paragraph Char"/>
    <w:aliases w:val="List Paragraph1 Char,List Paragraph11 Char,Bullet point Char,List Paragraph111 Char,L Char,F5 List Paragraph Char,Dot pt Char,CV text Char,Table text Char,Medium Grid 1 - Accent 21 Char,Numbered Paragraph Char,List Paragraph2 Char"/>
    <w:basedOn w:val="DefaultParagraphFont"/>
    <w:link w:val="ListParagraph"/>
    <w:uiPriority w:val="34"/>
    <w:locked/>
    <w:rsid w:val="00B7461D"/>
  </w:style>
  <w:style w:type="character" w:customStyle="1" w:styleId="Emphasis-Underline">
    <w:name w:val="Emphasis - Underline"/>
    <w:basedOn w:val="DefaultParagraphFont"/>
    <w:rsid w:val="00A94C9A"/>
    <w:rPr>
      <w:u w:val="single"/>
    </w:rPr>
  </w:style>
  <w:style w:type="paragraph" w:customStyle="1" w:styleId="Recommendation">
    <w:name w:val="Recommendation"/>
    <w:basedOn w:val="Normal"/>
    <w:rsid w:val="00A94C9A"/>
    <w:pPr>
      <w:numPr>
        <w:numId w:val="17"/>
      </w:numPr>
    </w:pPr>
  </w:style>
  <w:style w:type="paragraph" w:customStyle="1" w:styleId="Recommendation-SubPoint">
    <w:name w:val="Recommendation - Sub Point"/>
    <w:basedOn w:val="Normal"/>
    <w:rsid w:val="00A94C9A"/>
    <w:pPr>
      <w:numPr>
        <w:ilvl w:val="1"/>
        <w:numId w:val="17"/>
      </w:numPr>
    </w:pPr>
  </w:style>
  <w:style w:type="paragraph" w:customStyle="1" w:styleId="Recommendation-SubSub-point">
    <w:name w:val="Recommendation - Sub Sub-point"/>
    <w:basedOn w:val="Normal"/>
    <w:rsid w:val="00A94C9A"/>
    <w:pPr>
      <w:numPr>
        <w:ilvl w:val="2"/>
        <w:numId w:val="17"/>
      </w:numPr>
    </w:pPr>
  </w:style>
  <w:style w:type="table" w:styleId="LightList-Accent1">
    <w:name w:val="Light List Accent 1"/>
    <w:basedOn w:val="TableNormal"/>
    <w:uiPriority w:val="61"/>
    <w:rsid w:val="000300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AA747F"/>
    <w:pPr>
      <w:spacing w:before="100" w:beforeAutospacing="1" w:after="100" w:afterAutospacing="1"/>
    </w:pPr>
    <w:rPr>
      <w:rFonts w:ascii="Times New Roman" w:eastAsiaTheme="minorHAnsi" w:hAnsi="Times New Roman"/>
      <w:szCs w:val="24"/>
      <w:lang w:eastAsia="en-AU"/>
    </w:rPr>
  </w:style>
  <w:style w:type="paragraph" w:customStyle="1" w:styleId="SingleParagraph">
    <w:name w:val="Single Paragraph"/>
    <w:basedOn w:val="Normal"/>
    <w:rsid w:val="0048036A"/>
    <w:pPr>
      <w:spacing w:line="260" w:lineRule="exact"/>
      <w:jc w:val="both"/>
    </w:pPr>
    <w:rPr>
      <w:rFonts w:ascii="Corbel" w:hAnsi="Corbel"/>
      <w:color w:val="000000"/>
      <w:sz w:val="23"/>
      <w:lang w:eastAsia="en-AU"/>
    </w:rPr>
  </w:style>
  <w:style w:type="character" w:customStyle="1" w:styleId="AlphaParagraphCharChar">
    <w:name w:val="Alpha Paragraph Char Char"/>
    <w:link w:val="AlphaParagraph"/>
    <w:locked/>
    <w:rsid w:val="0048036A"/>
    <w:rPr>
      <w:rFonts w:ascii="Corbel" w:hAnsi="Corbel"/>
      <w:color w:val="000000"/>
      <w:sz w:val="23"/>
    </w:rPr>
  </w:style>
  <w:style w:type="paragraph" w:customStyle="1" w:styleId="AlphaParagraph">
    <w:name w:val="Alpha Paragraph"/>
    <w:basedOn w:val="Normal"/>
    <w:link w:val="AlphaParagraphCharChar"/>
    <w:rsid w:val="0048036A"/>
    <w:pPr>
      <w:tabs>
        <w:tab w:val="num" w:pos="0"/>
        <w:tab w:val="num" w:pos="567"/>
        <w:tab w:val="num" w:pos="1134"/>
      </w:tabs>
      <w:spacing w:after="240" w:line="260" w:lineRule="exact"/>
      <w:ind w:left="567" w:hanging="567"/>
      <w:jc w:val="both"/>
    </w:pPr>
    <w:rPr>
      <w:rFonts w:ascii="Corbel" w:eastAsiaTheme="minorHAnsi" w:hAnsi="Corbel" w:cstheme="minorBidi"/>
      <w:color w:val="000000"/>
      <w:sz w:val="23"/>
      <w:szCs w:val="22"/>
    </w:rPr>
  </w:style>
  <w:style w:type="paragraph" w:customStyle="1" w:styleId="Signed">
    <w:name w:val="Signed"/>
    <w:basedOn w:val="Normal"/>
    <w:rsid w:val="0048036A"/>
    <w:pPr>
      <w:spacing w:after="120"/>
      <w:jc w:val="both"/>
    </w:pPr>
    <w:rPr>
      <w:rFonts w:ascii="Book Antiqua" w:hAnsi="Book Antiqua"/>
      <w:bCs/>
      <w:i/>
      <w:color w:val="000000"/>
      <w:sz w:val="22"/>
      <w:lang w:eastAsia="en-AU"/>
    </w:rPr>
  </w:style>
  <w:style w:type="paragraph" w:customStyle="1" w:styleId="Position">
    <w:name w:val="Position"/>
    <w:basedOn w:val="Normal"/>
    <w:rsid w:val="0048036A"/>
    <w:pPr>
      <w:spacing w:after="120" w:line="260" w:lineRule="exact"/>
      <w:jc w:val="both"/>
    </w:pPr>
    <w:rPr>
      <w:rFonts w:ascii="Corbel" w:hAnsi="Corbel"/>
      <w:bCs/>
      <w:color w:val="000000"/>
      <w:sz w:val="20"/>
      <w:lang w:eastAsia="en-AU"/>
    </w:rPr>
  </w:style>
  <w:style w:type="paragraph" w:customStyle="1" w:styleId="LineForSignature">
    <w:name w:val="LineForSignature"/>
    <w:basedOn w:val="Normal"/>
    <w:rsid w:val="0048036A"/>
    <w:pPr>
      <w:tabs>
        <w:tab w:val="left" w:leader="underscore" w:pos="3686"/>
      </w:tabs>
      <w:spacing w:before="360" w:after="60" w:line="260" w:lineRule="exact"/>
      <w:jc w:val="both"/>
    </w:pPr>
    <w:rPr>
      <w:rFonts w:ascii="Book Antiqua" w:hAnsi="Book Antiqua"/>
      <w:color w:val="C0C0C0"/>
      <w:sz w:val="23"/>
      <w:lang w:val="en-GB" w:eastAsia="en-AU"/>
    </w:rPr>
  </w:style>
  <w:style w:type="character" w:customStyle="1" w:styleId="Bold">
    <w:name w:val="Bold"/>
    <w:rsid w:val="0048036A"/>
    <w:rPr>
      <w:b/>
      <w:bCs w:val="0"/>
    </w:rPr>
  </w:style>
  <w:style w:type="character" w:customStyle="1" w:styleId="SignedBold">
    <w:name w:val="SignedBold"/>
    <w:rsid w:val="0048036A"/>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820">
      <w:bodyDiv w:val="1"/>
      <w:marLeft w:val="0"/>
      <w:marRight w:val="0"/>
      <w:marTop w:val="0"/>
      <w:marBottom w:val="0"/>
      <w:divBdr>
        <w:top w:val="none" w:sz="0" w:space="0" w:color="auto"/>
        <w:left w:val="none" w:sz="0" w:space="0" w:color="auto"/>
        <w:bottom w:val="none" w:sz="0" w:space="0" w:color="auto"/>
        <w:right w:val="none" w:sz="0" w:space="0" w:color="auto"/>
      </w:divBdr>
    </w:div>
    <w:div w:id="419722934">
      <w:bodyDiv w:val="1"/>
      <w:marLeft w:val="0"/>
      <w:marRight w:val="0"/>
      <w:marTop w:val="0"/>
      <w:marBottom w:val="0"/>
      <w:divBdr>
        <w:top w:val="none" w:sz="0" w:space="0" w:color="auto"/>
        <w:left w:val="none" w:sz="0" w:space="0" w:color="auto"/>
        <w:bottom w:val="none" w:sz="0" w:space="0" w:color="auto"/>
        <w:right w:val="none" w:sz="0" w:space="0" w:color="auto"/>
      </w:divBdr>
    </w:div>
    <w:div w:id="486484823">
      <w:bodyDiv w:val="1"/>
      <w:marLeft w:val="0"/>
      <w:marRight w:val="0"/>
      <w:marTop w:val="0"/>
      <w:marBottom w:val="0"/>
      <w:divBdr>
        <w:top w:val="none" w:sz="0" w:space="0" w:color="auto"/>
        <w:left w:val="none" w:sz="0" w:space="0" w:color="auto"/>
        <w:bottom w:val="none" w:sz="0" w:space="0" w:color="auto"/>
        <w:right w:val="none" w:sz="0" w:space="0" w:color="auto"/>
      </w:divBdr>
    </w:div>
    <w:div w:id="490563155">
      <w:bodyDiv w:val="1"/>
      <w:marLeft w:val="0"/>
      <w:marRight w:val="0"/>
      <w:marTop w:val="0"/>
      <w:marBottom w:val="0"/>
      <w:divBdr>
        <w:top w:val="none" w:sz="0" w:space="0" w:color="auto"/>
        <w:left w:val="none" w:sz="0" w:space="0" w:color="auto"/>
        <w:bottom w:val="none" w:sz="0" w:space="0" w:color="auto"/>
        <w:right w:val="none" w:sz="0" w:space="0" w:color="auto"/>
      </w:divBdr>
    </w:div>
    <w:div w:id="520320704">
      <w:bodyDiv w:val="1"/>
      <w:marLeft w:val="0"/>
      <w:marRight w:val="0"/>
      <w:marTop w:val="0"/>
      <w:marBottom w:val="0"/>
      <w:divBdr>
        <w:top w:val="none" w:sz="0" w:space="0" w:color="auto"/>
        <w:left w:val="none" w:sz="0" w:space="0" w:color="auto"/>
        <w:bottom w:val="none" w:sz="0" w:space="0" w:color="auto"/>
        <w:right w:val="none" w:sz="0" w:space="0" w:color="auto"/>
      </w:divBdr>
    </w:div>
    <w:div w:id="961883023">
      <w:bodyDiv w:val="1"/>
      <w:marLeft w:val="0"/>
      <w:marRight w:val="0"/>
      <w:marTop w:val="0"/>
      <w:marBottom w:val="0"/>
      <w:divBdr>
        <w:top w:val="none" w:sz="0" w:space="0" w:color="auto"/>
        <w:left w:val="none" w:sz="0" w:space="0" w:color="auto"/>
        <w:bottom w:val="none" w:sz="0" w:space="0" w:color="auto"/>
        <w:right w:val="none" w:sz="0" w:space="0" w:color="auto"/>
      </w:divBdr>
    </w:div>
    <w:div w:id="970866689">
      <w:bodyDiv w:val="1"/>
      <w:marLeft w:val="0"/>
      <w:marRight w:val="0"/>
      <w:marTop w:val="0"/>
      <w:marBottom w:val="0"/>
      <w:divBdr>
        <w:top w:val="none" w:sz="0" w:space="0" w:color="auto"/>
        <w:left w:val="none" w:sz="0" w:space="0" w:color="auto"/>
        <w:bottom w:val="none" w:sz="0" w:space="0" w:color="auto"/>
        <w:right w:val="none" w:sz="0" w:space="0" w:color="auto"/>
      </w:divBdr>
    </w:div>
    <w:div w:id="1257012949">
      <w:bodyDiv w:val="1"/>
      <w:marLeft w:val="0"/>
      <w:marRight w:val="0"/>
      <w:marTop w:val="0"/>
      <w:marBottom w:val="0"/>
      <w:divBdr>
        <w:top w:val="none" w:sz="0" w:space="0" w:color="auto"/>
        <w:left w:val="none" w:sz="0" w:space="0" w:color="auto"/>
        <w:bottom w:val="none" w:sz="0" w:space="0" w:color="auto"/>
        <w:right w:val="none" w:sz="0" w:space="0" w:color="auto"/>
      </w:divBdr>
    </w:div>
    <w:div w:id="1559508614">
      <w:bodyDiv w:val="1"/>
      <w:marLeft w:val="0"/>
      <w:marRight w:val="0"/>
      <w:marTop w:val="0"/>
      <w:marBottom w:val="0"/>
      <w:divBdr>
        <w:top w:val="none" w:sz="0" w:space="0" w:color="auto"/>
        <w:left w:val="none" w:sz="0" w:space="0" w:color="auto"/>
        <w:bottom w:val="none" w:sz="0" w:space="0" w:color="auto"/>
        <w:right w:val="none" w:sz="0" w:space="0" w:color="auto"/>
      </w:divBdr>
    </w:div>
    <w:div w:id="1743915739">
      <w:bodyDiv w:val="1"/>
      <w:marLeft w:val="0"/>
      <w:marRight w:val="0"/>
      <w:marTop w:val="0"/>
      <w:marBottom w:val="0"/>
      <w:divBdr>
        <w:top w:val="none" w:sz="0" w:space="0" w:color="auto"/>
        <w:left w:val="none" w:sz="0" w:space="0" w:color="auto"/>
        <w:bottom w:val="none" w:sz="0" w:space="0" w:color="auto"/>
        <w:right w:val="none" w:sz="0" w:space="0" w:color="auto"/>
      </w:divBdr>
    </w:div>
    <w:div w:id="1800493068">
      <w:bodyDiv w:val="1"/>
      <w:marLeft w:val="0"/>
      <w:marRight w:val="0"/>
      <w:marTop w:val="0"/>
      <w:marBottom w:val="0"/>
      <w:divBdr>
        <w:top w:val="none" w:sz="0" w:space="0" w:color="auto"/>
        <w:left w:val="none" w:sz="0" w:space="0" w:color="auto"/>
        <w:bottom w:val="none" w:sz="0" w:space="0" w:color="auto"/>
        <w:right w:val="none" w:sz="0" w:space="0" w:color="auto"/>
      </w:divBdr>
    </w:div>
    <w:div w:id="20076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864" ma:contentTypeDescription=" " ma:contentTypeScope="" ma:versionID="7b4a2fbb5287454cc1d8238417a38f0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e544e5cc-ab70-42e1-849e-1a0f8bb1f4ef">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2017FG-64-38280</_dlc_DocId>
    <_dlc_DocIdUrl xmlns="e544e5cc-ab70-42e1-849e-1a0f8bb1f4ef">
      <Url>http://tweb/sites/fg/csrd/_layouts/15/DocIdRedir.aspx?ID=2017FG-64-38280</Url>
      <Description>2017FG-64-38280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D5BE-F447-44B6-A10D-BB4891312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787D0-E988-4A25-A7C2-1A8D68CE40B0}">
  <ds:schemaRefs>
    <ds:schemaRef ds:uri="office.server.policy"/>
  </ds:schemaRefs>
</ds:datastoreItem>
</file>

<file path=customXml/itemProps3.xml><?xml version="1.0" encoding="utf-8"?>
<ds:datastoreItem xmlns:ds="http://schemas.openxmlformats.org/officeDocument/2006/customXml" ds:itemID="{9ADA7822-5437-4C37-9FF3-2B62B76B0176}">
  <ds:schemaRefs>
    <ds:schemaRef ds:uri="http://schemas.microsoft.com/sharepoint/v3/contenttype/forms"/>
  </ds:schemaRefs>
</ds:datastoreItem>
</file>

<file path=customXml/itemProps4.xml><?xml version="1.0" encoding="utf-8"?>
<ds:datastoreItem xmlns:ds="http://schemas.openxmlformats.org/officeDocument/2006/customXml" ds:itemID="{96EEC668-3038-43E7-8E2D-9BAE569B5BCC}">
  <ds:schemaRefs>
    <ds:schemaRef ds:uri="Microsoft.SharePoint.Taxonomy.ContentTypeSync"/>
  </ds:schemaRefs>
</ds:datastoreItem>
</file>

<file path=customXml/itemProps5.xml><?xml version="1.0" encoding="utf-8"?>
<ds:datastoreItem xmlns:ds="http://schemas.openxmlformats.org/officeDocument/2006/customXml" ds:itemID="{8B075DA8-D018-48ED-8BEF-7D55AB9E4D8F}">
  <ds:schemaRefs>
    <ds:schemaRef ds:uri="http://www.w3.org/XML/1998/namespace"/>
    <ds:schemaRef ds:uri="http://schemas.microsoft.com/office/2006/metadata/properties"/>
    <ds:schemaRef ds:uri="http://schemas.microsoft.com/office/infopath/2007/PartnerControls"/>
    <ds:schemaRef ds:uri="http://schemas.microsoft.com/sharepoint/v4"/>
    <ds:schemaRef ds:uri="http://schemas.microsoft.com/office/2006/documentManagement/types"/>
    <ds:schemaRef ds:uri="http://purl.org/dc/terms/"/>
    <ds:schemaRef ds:uri="http://purl.org/dc/elements/1.1/"/>
    <ds:schemaRef ds:uri="e544e5cc-ab70-42e1-849e-1a0f8bb1f4ef"/>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C9A860B1-6C55-4E03-BD9E-B7A8E1BCB554}">
  <ds:schemaRefs>
    <ds:schemaRef ds:uri="http://schemas.microsoft.com/sharepoint/events"/>
  </ds:schemaRefs>
</ds:datastoreItem>
</file>

<file path=customXml/itemProps7.xml><?xml version="1.0" encoding="utf-8"?>
<ds:datastoreItem xmlns:ds="http://schemas.openxmlformats.org/officeDocument/2006/customXml" ds:itemID="{42463F32-73F0-4E67-A2E0-BE7F57A2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7990</Words>
  <Characters>45545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Joshua.Lickiss@pmc.gov.au</dc:creator>
  <cp:lastModifiedBy>Jegatheeswaran, Gerthika</cp:lastModifiedBy>
  <cp:revision>3</cp:revision>
  <cp:lastPrinted>2017-02-24T05:11:00Z</cp:lastPrinted>
  <dcterms:created xsi:type="dcterms:W3CDTF">2018-02-14T23:39:00Z</dcterms:created>
  <dcterms:modified xsi:type="dcterms:W3CDTF">2018-02-15T00:24:00Z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_dlc_DocIdItemGuid">
    <vt:lpwstr>be8dfdc5-177e-415d-acdf-86ad88c548a4</vt:lpwstr>
  </property>
  <property fmtid="{D5CDD505-2E9C-101B-9397-08002B2CF9AE}" pid="6" name="TSYRecordClass">
    <vt:lpwstr>2;#TSY RA-8748 - Retain as national archives|243f2231-dbfc-4282-b24a-c9b768286bd0</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{4435c73b-6585-4bc2-a76a-5d21b1a02e06}</vt:lpwstr>
  </property>
  <property fmtid="{D5CDD505-2E9C-101B-9397-08002B2CF9AE}" pid="10" name="RecordPoint_ActiveItemUniqueId">
    <vt:lpwstr>{be8dfdc5-177e-415d-acdf-86ad88c548a4}</vt:lpwstr>
  </property>
  <property fmtid="{D5CDD505-2E9C-101B-9397-08002B2CF9AE}" pid="11" name="RecordPoint_ActiveItemWebId">
    <vt:lpwstr>{a4589788-615f-4b8b-8296-7f9f6dfbab44}</vt:lpwstr>
  </property>
  <property fmtid="{D5CDD505-2E9C-101B-9397-08002B2CF9AE}" pid="12" name="RecordPoint_RecordNumberSubmitted">
    <vt:lpwstr>R0001368687</vt:lpwstr>
  </property>
  <property fmtid="{D5CDD505-2E9C-101B-9397-08002B2CF9AE}" pid="13" name="RecordPoint_SubmissionCompleted">
    <vt:lpwstr>2017-07-10T23:06:38.9034323+10:00</vt:lpwstr>
  </property>
</Properties>
</file>