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6"/>
      </w:tblGrid>
      <w:tr w:rsidR="00B46345" w:rsidRPr="00AD1496" w14:paraId="23646F83" w14:textId="77777777" w:rsidTr="001C703D">
        <w:trPr>
          <w:trHeight w:hRule="exact" w:val="5812"/>
        </w:trPr>
        <w:tc>
          <w:tcPr>
            <w:tcW w:w="9286" w:type="dxa"/>
            <w:vAlign w:val="bottom"/>
          </w:tcPr>
          <w:p w14:paraId="547EE6AD" w14:textId="578D29B6" w:rsidR="00B46345" w:rsidRPr="00AD1496" w:rsidRDefault="000B1B50" w:rsidP="000B1B50">
            <w:pPr>
              <w:pStyle w:val="Reporttitle"/>
              <w:rPr>
                <w:rFonts w:asciiTheme="majorHAnsi" w:hAnsiTheme="majorHAnsi" w:cstheme="majorHAnsi"/>
                <w:sz w:val="60"/>
                <w:szCs w:val="60"/>
              </w:rPr>
            </w:pPr>
            <w:bookmarkStart w:id="0" w:name="_GoBack"/>
            <w:bookmarkEnd w:id="0"/>
            <w:r w:rsidRPr="00AD1496">
              <w:rPr>
                <w:rFonts w:asciiTheme="majorHAnsi" w:hAnsiTheme="majorHAnsi" w:cstheme="majorHAnsi"/>
                <w:sz w:val="60"/>
                <w:szCs w:val="60"/>
              </w:rPr>
              <w:t xml:space="preserve">NATIONAL PARTNERSHIP AGREEMENT ON IMPLEMENTING WATER REFORM IN THE MURRAY-DARLING BASIN </w:t>
            </w:r>
          </w:p>
        </w:tc>
      </w:tr>
      <w:tr w:rsidR="00B46345" w:rsidRPr="00AD1496" w14:paraId="07E90FEC" w14:textId="77777777" w:rsidTr="001C703D">
        <w:trPr>
          <w:trHeight w:val="3241"/>
        </w:trPr>
        <w:tc>
          <w:tcPr>
            <w:tcW w:w="9286" w:type="dxa"/>
          </w:tcPr>
          <w:p w14:paraId="5F16C74F" w14:textId="77777777" w:rsidR="00B46345" w:rsidRPr="00AD1496" w:rsidRDefault="00B46345" w:rsidP="00B46345">
            <w:pPr>
              <w:rPr>
                <w:rFonts w:asciiTheme="majorHAnsi" w:hAnsiTheme="majorHAnsi" w:cstheme="majorHAnsi"/>
              </w:rPr>
            </w:pPr>
          </w:p>
        </w:tc>
      </w:tr>
      <w:tr w:rsidR="00B46345" w:rsidRPr="00AD1496" w14:paraId="163D707D" w14:textId="77777777" w:rsidTr="001C703D">
        <w:tc>
          <w:tcPr>
            <w:tcW w:w="9286" w:type="dxa"/>
          </w:tcPr>
          <w:p w14:paraId="13148BA2" w14:textId="08951311" w:rsidR="00B46345" w:rsidRPr="00AD1496" w:rsidRDefault="000B1B50" w:rsidP="00B96D1A">
            <w:pPr>
              <w:pStyle w:val="Subtitle"/>
              <w:rPr>
                <w:rFonts w:asciiTheme="majorHAnsi" w:hAnsiTheme="majorHAnsi" w:cstheme="majorHAnsi"/>
              </w:rPr>
            </w:pPr>
            <w:r w:rsidRPr="00AD1496">
              <w:rPr>
                <w:rFonts w:asciiTheme="majorHAnsi" w:hAnsiTheme="majorHAnsi" w:cstheme="majorHAnsi"/>
              </w:rPr>
              <w:t xml:space="preserve">DEPARTMENT OF AGRICULTURE </w:t>
            </w:r>
          </w:p>
        </w:tc>
      </w:tr>
      <w:tr w:rsidR="001C703D" w:rsidRPr="00AD1496" w14:paraId="03E304BC" w14:textId="77777777" w:rsidTr="001C703D">
        <w:tc>
          <w:tcPr>
            <w:tcW w:w="9286" w:type="dxa"/>
          </w:tcPr>
          <w:p w14:paraId="4E112C73" w14:textId="02D19757" w:rsidR="001C703D" w:rsidRPr="00AD1496" w:rsidRDefault="000B1B50" w:rsidP="001C703D">
            <w:pPr>
              <w:pStyle w:val="Reporttype"/>
              <w:rPr>
                <w:rFonts w:asciiTheme="majorHAnsi" w:hAnsiTheme="majorHAnsi" w:cstheme="majorHAnsi"/>
              </w:rPr>
            </w:pPr>
            <w:r w:rsidRPr="00AD1496">
              <w:rPr>
                <w:rFonts w:asciiTheme="majorHAnsi" w:hAnsiTheme="majorHAnsi" w:cstheme="majorHAnsi"/>
              </w:rPr>
              <w:t>FINAL REVIEW</w:t>
            </w:r>
          </w:p>
        </w:tc>
      </w:tr>
      <w:tr w:rsidR="001C703D" w:rsidRPr="00AD1496" w14:paraId="2AB1E2BC" w14:textId="77777777" w:rsidTr="001C703D">
        <w:tc>
          <w:tcPr>
            <w:tcW w:w="9286" w:type="dxa"/>
          </w:tcPr>
          <w:p w14:paraId="37394251" w14:textId="40878D9F" w:rsidR="001C703D" w:rsidRPr="00AD1496" w:rsidRDefault="00045198" w:rsidP="00045198">
            <w:pPr>
              <w:pStyle w:val="Reportperiod"/>
              <w:tabs>
                <w:tab w:val="left" w:pos="7245"/>
                <w:tab w:val="right" w:pos="9070"/>
              </w:tabs>
              <w:jc w:val="left"/>
              <w:rPr>
                <w:rFonts w:asciiTheme="majorHAnsi" w:hAnsiTheme="majorHAnsi" w:cstheme="majorHAnsi"/>
                <w:sz w:val="20"/>
                <w:szCs w:val="20"/>
              </w:rPr>
            </w:pPr>
            <w:r w:rsidRPr="00AD1496">
              <w:rPr>
                <w:rFonts w:asciiTheme="majorHAnsi" w:hAnsiTheme="majorHAnsi" w:cstheme="majorHAnsi"/>
                <w:sz w:val="20"/>
                <w:szCs w:val="20"/>
              </w:rPr>
              <w:lastRenderedPageBreak/>
              <w:tab/>
            </w:r>
            <w:r w:rsidRPr="00AD1496">
              <w:rPr>
                <w:rFonts w:asciiTheme="majorHAnsi" w:hAnsiTheme="majorHAnsi" w:cstheme="majorHAnsi"/>
                <w:sz w:val="20"/>
                <w:szCs w:val="20"/>
              </w:rPr>
              <w:tab/>
            </w:r>
            <w:r w:rsidR="00EB6425">
              <w:rPr>
                <w:rFonts w:asciiTheme="majorHAnsi" w:hAnsiTheme="majorHAnsi" w:cstheme="majorHAnsi"/>
                <w:sz w:val="20"/>
                <w:szCs w:val="20"/>
              </w:rPr>
              <w:t>27</w:t>
            </w:r>
            <w:r w:rsidR="0036749E">
              <w:rPr>
                <w:rFonts w:asciiTheme="majorHAnsi" w:hAnsiTheme="majorHAnsi" w:cstheme="majorHAnsi"/>
                <w:sz w:val="20"/>
                <w:szCs w:val="20"/>
              </w:rPr>
              <w:t xml:space="preserve"> FEBRUARY 2020</w:t>
            </w:r>
          </w:p>
        </w:tc>
      </w:tr>
    </w:tbl>
    <w:p w14:paraId="055420D0" w14:textId="77777777" w:rsidR="001334F9" w:rsidRPr="00AD1496" w:rsidRDefault="001334F9" w:rsidP="001334F9">
      <w:pPr>
        <w:pStyle w:val="FrontPage"/>
        <w:rPr>
          <w:rFonts w:asciiTheme="majorHAnsi" w:hAnsiTheme="majorHAnsi" w:cstheme="majorHAnsi"/>
        </w:rPr>
      </w:pPr>
    </w:p>
    <w:p w14:paraId="077B8F3A" w14:textId="77777777" w:rsidR="001334F9" w:rsidRPr="00AD1496" w:rsidRDefault="001334F9" w:rsidP="007C2262">
      <w:pPr>
        <w:pStyle w:val="TOCHeading"/>
        <w:rPr>
          <w:rFonts w:asciiTheme="majorHAnsi" w:hAnsiTheme="majorHAnsi" w:cstheme="majorHAnsi"/>
        </w:rPr>
      </w:pPr>
      <w:r w:rsidRPr="00AD1496">
        <w:rPr>
          <w:rFonts w:asciiTheme="majorHAnsi" w:hAnsiTheme="majorHAnsi" w:cstheme="majorHAnsi"/>
        </w:rPr>
        <w:t>Acknowledgments</w:t>
      </w:r>
    </w:p>
    <w:p w14:paraId="6875061B" w14:textId="7ADAD5BB" w:rsidR="00644AA2" w:rsidRPr="00AD1496" w:rsidRDefault="00644AA2" w:rsidP="00644AA2">
      <w:pPr>
        <w:rPr>
          <w:rFonts w:asciiTheme="majorHAnsi" w:hAnsiTheme="majorHAnsi" w:cstheme="majorHAnsi"/>
        </w:rPr>
      </w:pPr>
      <w:r w:rsidRPr="00AD1496">
        <w:rPr>
          <w:rFonts w:asciiTheme="majorHAnsi" w:hAnsiTheme="majorHAnsi" w:cstheme="majorHAnsi"/>
        </w:rPr>
        <w:t>We would like to thank the interviewees from the Basin States and Commonwealth agen</w:t>
      </w:r>
      <w:r w:rsidR="00D45CA3" w:rsidRPr="00AD1496">
        <w:rPr>
          <w:rFonts w:asciiTheme="majorHAnsi" w:hAnsiTheme="majorHAnsi" w:cstheme="majorHAnsi"/>
        </w:rPr>
        <w:t>cies</w:t>
      </w:r>
      <w:r w:rsidRPr="00AD1496">
        <w:rPr>
          <w:rFonts w:asciiTheme="majorHAnsi" w:hAnsiTheme="majorHAnsi" w:cstheme="majorHAnsi"/>
        </w:rPr>
        <w:t>. We thank them for their time and insights and trust that their views are adequately represented in this report. The full list of agencies consulted is provided in Section 2 below.</w:t>
      </w:r>
    </w:p>
    <w:p w14:paraId="6C783297" w14:textId="77777777" w:rsidR="00644AA2" w:rsidRPr="00AD1496" w:rsidRDefault="00644AA2" w:rsidP="00644AA2">
      <w:pPr>
        <w:rPr>
          <w:rFonts w:asciiTheme="majorHAnsi" w:hAnsiTheme="majorHAnsi" w:cstheme="majorHAnsi"/>
          <w:b/>
        </w:rPr>
      </w:pPr>
      <w:r w:rsidRPr="00AD1496">
        <w:rPr>
          <w:rFonts w:asciiTheme="majorHAnsi" w:hAnsiTheme="majorHAnsi" w:cstheme="majorHAnsi"/>
          <w:b/>
        </w:rPr>
        <w:t>ARTD consultancy team</w:t>
      </w:r>
    </w:p>
    <w:p w14:paraId="5A39C390" w14:textId="77777777" w:rsidR="00644AA2" w:rsidRPr="00AD1496" w:rsidRDefault="00644AA2" w:rsidP="00644AA2">
      <w:pPr>
        <w:spacing w:after="0"/>
        <w:rPr>
          <w:rFonts w:asciiTheme="majorHAnsi" w:hAnsiTheme="majorHAnsi" w:cstheme="majorHAnsi"/>
        </w:rPr>
      </w:pPr>
      <w:r w:rsidRPr="00AD1496">
        <w:rPr>
          <w:rFonts w:asciiTheme="majorHAnsi" w:hAnsiTheme="majorHAnsi" w:cstheme="majorHAnsi"/>
        </w:rPr>
        <w:t>Jasper Odgers</w:t>
      </w:r>
    </w:p>
    <w:p w14:paraId="75105D20" w14:textId="77777777" w:rsidR="00644AA2" w:rsidRPr="00AD1496" w:rsidRDefault="00644AA2" w:rsidP="00644AA2">
      <w:pPr>
        <w:spacing w:after="0"/>
        <w:rPr>
          <w:rFonts w:asciiTheme="majorHAnsi" w:hAnsiTheme="majorHAnsi" w:cstheme="majorHAnsi"/>
        </w:rPr>
      </w:pPr>
      <w:r w:rsidRPr="00AD1496">
        <w:rPr>
          <w:rFonts w:asciiTheme="majorHAnsi" w:hAnsiTheme="majorHAnsi" w:cstheme="majorHAnsi"/>
        </w:rPr>
        <w:lastRenderedPageBreak/>
        <w:t>Jason Alexandra</w:t>
      </w:r>
    </w:p>
    <w:p w14:paraId="0FD19175" w14:textId="77777777" w:rsidR="00644AA2" w:rsidRPr="00AD1496" w:rsidRDefault="00644AA2" w:rsidP="00644AA2">
      <w:pPr>
        <w:spacing w:after="0"/>
        <w:rPr>
          <w:rFonts w:asciiTheme="majorHAnsi" w:hAnsiTheme="majorHAnsi" w:cstheme="majorHAnsi"/>
        </w:rPr>
      </w:pPr>
      <w:r w:rsidRPr="00AD1496">
        <w:rPr>
          <w:rFonts w:asciiTheme="majorHAnsi" w:hAnsiTheme="majorHAnsi" w:cstheme="majorHAnsi"/>
        </w:rPr>
        <w:t>Tony Webster</w:t>
      </w:r>
    </w:p>
    <w:p w14:paraId="75C600A7" w14:textId="77777777" w:rsidR="00644AA2" w:rsidRPr="00AD1496" w:rsidRDefault="00644AA2" w:rsidP="00644AA2">
      <w:pPr>
        <w:spacing w:after="0"/>
        <w:rPr>
          <w:rFonts w:asciiTheme="majorHAnsi" w:hAnsiTheme="majorHAnsi" w:cstheme="majorHAnsi"/>
        </w:rPr>
      </w:pPr>
      <w:r w:rsidRPr="00AD1496">
        <w:rPr>
          <w:rFonts w:asciiTheme="majorHAnsi" w:hAnsiTheme="majorHAnsi" w:cstheme="majorHAnsi"/>
        </w:rPr>
        <w:t>Lia Oliver</w:t>
      </w:r>
    </w:p>
    <w:p w14:paraId="48140DFD" w14:textId="77777777" w:rsidR="00644AA2" w:rsidRPr="00AD1496" w:rsidRDefault="00644AA2" w:rsidP="00644AA2">
      <w:pPr>
        <w:spacing w:after="0"/>
        <w:rPr>
          <w:rFonts w:asciiTheme="majorHAnsi" w:hAnsiTheme="majorHAnsi" w:cstheme="majorHAnsi"/>
        </w:rPr>
      </w:pPr>
      <w:r w:rsidRPr="00AD1496">
        <w:rPr>
          <w:rFonts w:asciiTheme="majorHAnsi" w:hAnsiTheme="majorHAnsi" w:cstheme="majorHAnsi"/>
        </w:rPr>
        <w:t>Sue Leahy</w:t>
      </w:r>
    </w:p>
    <w:p w14:paraId="44697E8C" w14:textId="77777777" w:rsidR="00183BB2" w:rsidRPr="00AD1496" w:rsidRDefault="00183BB2" w:rsidP="00857B18">
      <w:pPr>
        <w:rPr>
          <w:rFonts w:asciiTheme="majorHAnsi" w:hAnsiTheme="majorHAnsi" w:cstheme="majorHAnsi"/>
        </w:rPr>
      </w:pPr>
    </w:p>
    <w:p w14:paraId="1E28A052" w14:textId="77777777" w:rsidR="00857B18" w:rsidRPr="00AD1496" w:rsidRDefault="00857B18" w:rsidP="00183BB2">
      <w:pPr>
        <w:pStyle w:val="ListBullet"/>
        <w:numPr>
          <w:ilvl w:val="0"/>
          <w:numId w:val="0"/>
        </w:numPr>
        <w:rPr>
          <w:rFonts w:asciiTheme="majorHAnsi" w:hAnsiTheme="majorHAnsi" w:cstheme="majorHAnsi"/>
        </w:rPr>
        <w:sectPr w:rsidR="00857B18" w:rsidRPr="00AD1496" w:rsidSect="001334F9">
          <w:headerReference w:type="default" r:id="rId11"/>
          <w:footerReference w:type="default" r:id="rId12"/>
          <w:headerReference w:type="first" r:id="rId13"/>
          <w:type w:val="continuous"/>
          <w:pgSz w:w="11906" w:h="16838" w:code="9"/>
          <w:pgMar w:top="1418" w:right="1418" w:bottom="1418" w:left="1418" w:header="567" w:footer="567" w:gutter="0"/>
          <w:pgNumType w:fmt="lowerRoman" w:start="1"/>
          <w:cols w:space="708"/>
          <w:titlePg/>
          <w:docGrid w:linePitch="360"/>
        </w:sectPr>
      </w:pPr>
    </w:p>
    <w:p w14:paraId="179B2D01" w14:textId="77777777" w:rsidR="009E264A" w:rsidRPr="00AD1496" w:rsidRDefault="009E264A" w:rsidP="007C2262">
      <w:pPr>
        <w:pStyle w:val="TOCHeading"/>
        <w:rPr>
          <w:rFonts w:asciiTheme="majorHAnsi" w:hAnsiTheme="majorHAnsi" w:cstheme="majorHAnsi"/>
        </w:rPr>
      </w:pPr>
      <w:r w:rsidRPr="00AD1496">
        <w:rPr>
          <w:rFonts w:asciiTheme="majorHAnsi" w:hAnsiTheme="majorHAnsi" w:cstheme="majorHAnsi"/>
        </w:rPr>
        <w:lastRenderedPageBreak/>
        <w:t>Contents</w:t>
      </w:r>
    </w:p>
    <w:p w14:paraId="0573A18B" w14:textId="641CCDBF" w:rsidR="00EB04E4" w:rsidRDefault="00D273E8">
      <w:pPr>
        <w:pStyle w:val="TOC1"/>
        <w:rPr>
          <w:rFonts w:asciiTheme="minorHAnsi" w:eastAsiaTheme="minorEastAsia" w:hAnsiTheme="minorHAnsi" w:cstheme="minorBidi"/>
          <w:b w:val="0"/>
          <w:szCs w:val="22"/>
        </w:rPr>
      </w:pPr>
      <w:r w:rsidRPr="00AD1496">
        <w:rPr>
          <w:sz w:val="21"/>
        </w:rPr>
        <w:fldChar w:fldCharType="begin"/>
      </w:r>
      <w:r w:rsidRPr="00AD1496">
        <w:rPr>
          <w:sz w:val="21"/>
        </w:rPr>
        <w:instrText xml:space="preserve"> TOC \o "1-1" \h \z \t "Heading 2,2,Exec Summary H2,2,General Heading 2,2" </w:instrText>
      </w:r>
      <w:r w:rsidRPr="00AD1496">
        <w:rPr>
          <w:sz w:val="21"/>
        </w:rPr>
        <w:fldChar w:fldCharType="separate"/>
      </w:r>
      <w:hyperlink w:anchor="_Toc33700610" w:history="1">
        <w:r w:rsidR="00EB04E4" w:rsidRPr="00484063">
          <w:rPr>
            <w:rStyle w:val="Hyperlink"/>
            <w:rFonts w:asciiTheme="majorHAnsi" w:hAnsiTheme="majorHAnsi" w:cstheme="majorHAnsi"/>
          </w:rPr>
          <w:t>Executive summary</w:t>
        </w:r>
        <w:r w:rsidR="00EB04E4">
          <w:rPr>
            <w:webHidden/>
          </w:rPr>
          <w:tab/>
        </w:r>
        <w:r w:rsidR="00EB04E4">
          <w:rPr>
            <w:webHidden/>
          </w:rPr>
          <w:fldChar w:fldCharType="begin"/>
        </w:r>
        <w:r w:rsidR="00EB04E4">
          <w:rPr>
            <w:webHidden/>
          </w:rPr>
          <w:instrText xml:space="preserve"> PAGEREF _Toc33700610 \h </w:instrText>
        </w:r>
        <w:r w:rsidR="00EB04E4">
          <w:rPr>
            <w:webHidden/>
          </w:rPr>
        </w:r>
        <w:r w:rsidR="00EB04E4">
          <w:rPr>
            <w:webHidden/>
          </w:rPr>
          <w:fldChar w:fldCharType="separate"/>
        </w:r>
        <w:r w:rsidR="00DF313B">
          <w:rPr>
            <w:webHidden/>
          </w:rPr>
          <w:t>v</w:t>
        </w:r>
        <w:r w:rsidR="00EB04E4">
          <w:rPr>
            <w:webHidden/>
          </w:rPr>
          <w:fldChar w:fldCharType="end"/>
        </w:r>
      </w:hyperlink>
    </w:p>
    <w:p w14:paraId="400912E9" w14:textId="380F7FD9" w:rsidR="00EB04E4" w:rsidRDefault="00DF313B">
      <w:pPr>
        <w:pStyle w:val="TOC2"/>
        <w:rPr>
          <w:rFonts w:asciiTheme="minorHAnsi" w:eastAsiaTheme="minorEastAsia" w:hAnsiTheme="minorHAnsi" w:cstheme="minorBidi"/>
          <w:szCs w:val="22"/>
          <w:lang w:eastAsia="en-AU"/>
        </w:rPr>
      </w:pPr>
      <w:hyperlink w:anchor="_Toc33700611" w:history="1">
        <w:r w:rsidR="00EB04E4" w:rsidRPr="00484063">
          <w:rPr>
            <w:rStyle w:val="Hyperlink"/>
            <w:rFonts w:asciiTheme="majorHAnsi" w:hAnsiTheme="majorHAnsi" w:cstheme="majorHAnsi"/>
          </w:rPr>
          <w:t>Project</w:t>
        </w:r>
        <w:r w:rsidR="00EB04E4">
          <w:rPr>
            <w:webHidden/>
          </w:rPr>
          <w:tab/>
        </w:r>
        <w:r w:rsidR="00EB04E4">
          <w:rPr>
            <w:webHidden/>
          </w:rPr>
          <w:fldChar w:fldCharType="begin"/>
        </w:r>
        <w:r w:rsidR="00EB04E4">
          <w:rPr>
            <w:webHidden/>
          </w:rPr>
          <w:instrText xml:space="preserve"> PAGEREF _Toc33700611 \h </w:instrText>
        </w:r>
        <w:r w:rsidR="00EB04E4">
          <w:rPr>
            <w:webHidden/>
          </w:rPr>
        </w:r>
        <w:r w:rsidR="00EB04E4">
          <w:rPr>
            <w:webHidden/>
          </w:rPr>
          <w:fldChar w:fldCharType="separate"/>
        </w:r>
        <w:r>
          <w:rPr>
            <w:webHidden/>
          </w:rPr>
          <w:t>v</w:t>
        </w:r>
        <w:r w:rsidR="00EB04E4">
          <w:rPr>
            <w:webHidden/>
          </w:rPr>
          <w:fldChar w:fldCharType="end"/>
        </w:r>
      </w:hyperlink>
    </w:p>
    <w:p w14:paraId="37273E13" w14:textId="583BD10C" w:rsidR="00EB04E4" w:rsidRDefault="00DF313B">
      <w:pPr>
        <w:pStyle w:val="TOC2"/>
        <w:rPr>
          <w:rFonts w:asciiTheme="minorHAnsi" w:eastAsiaTheme="minorEastAsia" w:hAnsiTheme="minorHAnsi" w:cstheme="minorBidi"/>
          <w:szCs w:val="22"/>
          <w:lang w:eastAsia="en-AU"/>
        </w:rPr>
      </w:pPr>
      <w:hyperlink w:anchor="_Toc33700612" w:history="1">
        <w:r w:rsidR="00EB04E4" w:rsidRPr="00484063">
          <w:rPr>
            <w:rStyle w:val="Hyperlink"/>
            <w:rFonts w:asciiTheme="majorHAnsi" w:hAnsiTheme="majorHAnsi" w:cstheme="majorHAnsi"/>
          </w:rPr>
          <w:t>Method</w:t>
        </w:r>
        <w:r w:rsidR="00EB04E4">
          <w:rPr>
            <w:webHidden/>
          </w:rPr>
          <w:tab/>
        </w:r>
        <w:r w:rsidR="00EB04E4">
          <w:rPr>
            <w:webHidden/>
          </w:rPr>
          <w:fldChar w:fldCharType="begin"/>
        </w:r>
        <w:r w:rsidR="00EB04E4">
          <w:rPr>
            <w:webHidden/>
          </w:rPr>
          <w:instrText xml:space="preserve"> PAGEREF _Toc33700612 \h </w:instrText>
        </w:r>
        <w:r w:rsidR="00EB04E4">
          <w:rPr>
            <w:webHidden/>
          </w:rPr>
        </w:r>
        <w:r w:rsidR="00EB04E4">
          <w:rPr>
            <w:webHidden/>
          </w:rPr>
          <w:fldChar w:fldCharType="separate"/>
        </w:r>
        <w:r>
          <w:rPr>
            <w:webHidden/>
          </w:rPr>
          <w:t>v</w:t>
        </w:r>
        <w:r w:rsidR="00EB04E4">
          <w:rPr>
            <w:webHidden/>
          </w:rPr>
          <w:fldChar w:fldCharType="end"/>
        </w:r>
      </w:hyperlink>
    </w:p>
    <w:p w14:paraId="7785390A" w14:textId="05BC011C" w:rsidR="00EB04E4" w:rsidRDefault="00DF313B">
      <w:pPr>
        <w:pStyle w:val="TOC2"/>
        <w:rPr>
          <w:rFonts w:asciiTheme="minorHAnsi" w:eastAsiaTheme="minorEastAsia" w:hAnsiTheme="minorHAnsi" w:cstheme="minorBidi"/>
          <w:szCs w:val="22"/>
          <w:lang w:eastAsia="en-AU"/>
        </w:rPr>
      </w:pPr>
      <w:hyperlink w:anchor="_Toc33700613" w:history="1">
        <w:r w:rsidR="00EB04E4" w:rsidRPr="00484063">
          <w:rPr>
            <w:rStyle w:val="Hyperlink"/>
            <w:rFonts w:asciiTheme="majorHAnsi" w:hAnsiTheme="majorHAnsi" w:cstheme="majorHAnsi"/>
          </w:rPr>
          <w:t>Findings</w:t>
        </w:r>
        <w:r w:rsidR="00EB04E4">
          <w:rPr>
            <w:webHidden/>
          </w:rPr>
          <w:tab/>
        </w:r>
        <w:r w:rsidR="00EB04E4">
          <w:rPr>
            <w:webHidden/>
          </w:rPr>
          <w:fldChar w:fldCharType="begin"/>
        </w:r>
        <w:r w:rsidR="00EB04E4">
          <w:rPr>
            <w:webHidden/>
          </w:rPr>
          <w:instrText xml:space="preserve"> PAGEREF _Toc33700613 \h </w:instrText>
        </w:r>
        <w:r w:rsidR="00EB04E4">
          <w:rPr>
            <w:webHidden/>
          </w:rPr>
        </w:r>
        <w:r w:rsidR="00EB04E4">
          <w:rPr>
            <w:webHidden/>
          </w:rPr>
          <w:fldChar w:fldCharType="separate"/>
        </w:r>
        <w:r>
          <w:rPr>
            <w:webHidden/>
          </w:rPr>
          <w:t>v</w:t>
        </w:r>
        <w:r w:rsidR="00EB04E4">
          <w:rPr>
            <w:webHidden/>
          </w:rPr>
          <w:fldChar w:fldCharType="end"/>
        </w:r>
      </w:hyperlink>
    </w:p>
    <w:p w14:paraId="4CEA222D" w14:textId="4943FC25" w:rsidR="00EB04E4" w:rsidRDefault="00DF313B">
      <w:pPr>
        <w:pStyle w:val="TOC1"/>
        <w:rPr>
          <w:rFonts w:asciiTheme="minorHAnsi" w:eastAsiaTheme="minorEastAsia" w:hAnsiTheme="minorHAnsi" w:cstheme="minorBidi"/>
          <w:b w:val="0"/>
          <w:szCs w:val="22"/>
        </w:rPr>
      </w:pPr>
      <w:hyperlink w:anchor="_Toc33700614" w:history="1">
        <w:r w:rsidR="00EB04E4" w:rsidRPr="00484063">
          <w:rPr>
            <w:rStyle w:val="Hyperlink"/>
            <w:rFonts w:asciiTheme="majorHAnsi" w:hAnsiTheme="majorHAnsi" w:cstheme="majorHAnsi"/>
          </w:rPr>
          <w:t>1.</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Background</w:t>
        </w:r>
        <w:r w:rsidR="00EB04E4">
          <w:rPr>
            <w:webHidden/>
          </w:rPr>
          <w:tab/>
        </w:r>
        <w:r w:rsidR="00EB04E4">
          <w:rPr>
            <w:webHidden/>
          </w:rPr>
          <w:fldChar w:fldCharType="begin"/>
        </w:r>
        <w:r w:rsidR="00EB04E4">
          <w:rPr>
            <w:webHidden/>
          </w:rPr>
          <w:instrText xml:space="preserve"> PAGEREF _Toc33700614 \h </w:instrText>
        </w:r>
        <w:r w:rsidR="00EB04E4">
          <w:rPr>
            <w:webHidden/>
          </w:rPr>
        </w:r>
        <w:r w:rsidR="00EB04E4">
          <w:rPr>
            <w:webHidden/>
          </w:rPr>
          <w:fldChar w:fldCharType="separate"/>
        </w:r>
        <w:r>
          <w:rPr>
            <w:webHidden/>
          </w:rPr>
          <w:t>8</w:t>
        </w:r>
        <w:r w:rsidR="00EB04E4">
          <w:rPr>
            <w:webHidden/>
          </w:rPr>
          <w:fldChar w:fldCharType="end"/>
        </w:r>
      </w:hyperlink>
    </w:p>
    <w:p w14:paraId="4D2E07C4" w14:textId="7D81B425" w:rsidR="00EB04E4" w:rsidRDefault="00DF313B">
      <w:pPr>
        <w:pStyle w:val="TOC2"/>
        <w:rPr>
          <w:rFonts w:asciiTheme="minorHAnsi" w:eastAsiaTheme="minorEastAsia" w:hAnsiTheme="minorHAnsi" w:cstheme="minorBidi"/>
          <w:szCs w:val="22"/>
          <w:lang w:eastAsia="en-AU"/>
        </w:rPr>
      </w:pPr>
      <w:hyperlink w:anchor="_Toc33700615" w:history="1">
        <w:r w:rsidR="00EB04E4" w:rsidRPr="00484063">
          <w:rPr>
            <w:rStyle w:val="Hyperlink"/>
            <w:rFonts w:asciiTheme="majorHAnsi" w:hAnsiTheme="majorHAnsi" w:cstheme="majorHAnsi"/>
          </w:rPr>
          <w:t>1.1</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This report</w:t>
        </w:r>
        <w:r w:rsidR="00EB04E4">
          <w:rPr>
            <w:webHidden/>
          </w:rPr>
          <w:tab/>
        </w:r>
        <w:r w:rsidR="00EB04E4">
          <w:rPr>
            <w:webHidden/>
          </w:rPr>
          <w:fldChar w:fldCharType="begin"/>
        </w:r>
        <w:r w:rsidR="00EB04E4">
          <w:rPr>
            <w:webHidden/>
          </w:rPr>
          <w:instrText xml:space="preserve"> PAGEREF _Toc33700615 \h </w:instrText>
        </w:r>
        <w:r w:rsidR="00EB04E4">
          <w:rPr>
            <w:webHidden/>
          </w:rPr>
        </w:r>
        <w:r w:rsidR="00EB04E4">
          <w:rPr>
            <w:webHidden/>
          </w:rPr>
          <w:fldChar w:fldCharType="separate"/>
        </w:r>
        <w:r>
          <w:rPr>
            <w:webHidden/>
          </w:rPr>
          <w:t>8</w:t>
        </w:r>
        <w:r w:rsidR="00EB04E4">
          <w:rPr>
            <w:webHidden/>
          </w:rPr>
          <w:fldChar w:fldCharType="end"/>
        </w:r>
      </w:hyperlink>
    </w:p>
    <w:p w14:paraId="79ECC7DC" w14:textId="683F91D1" w:rsidR="00EB04E4" w:rsidRDefault="00DF313B">
      <w:pPr>
        <w:pStyle w:val="TOC2"/>
        <w:rPr>
          <w:rFonts w:asciiTheme="minorHAnsi" w:eastAsiaTheme="minorEastAsia" w:hAnsiTheme="minorHAnsi" w:cstheme="minorBidi"/>
          <w:szCs w:val="22"/>
          <w:lang w:eastAsia="en-AU"/>
        </w:rPr>
      </w:pPr>
      <w:hyperlink w:anchor="_Toc33700616" w:history="1">
        <w:r w:rsidR="00EB04E4" w:rsidRPr="00484063">
          <w:rPr>
            <w:rStyle w:val="Hyperlink"/>
            <w:rFonts w:asciiTheme="majorHAnsi" w:hAnsiTheme="majorHAnsi" w:cstheme="majorHAnsi"/>
          </w:rPr>
          <w:t>1.2</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Institutional context</w:t>
        </w:r>
        <w:r w:rsidR="00EB04E4">
          <w:rPr>
            <w:webHidden/>
          </w:rPr>
          <w:tab/>
        </w:r>
        <w:r w:rsidR="00EB04E4">
          <w:rPr>
            <w:webHidden/>
          </w:rPr>
          <w:fldChar w:fldCharType="begin"/>
        </w:r>
        <w:r w:rsidR="00EB04E4">
          <w:rPr>
            <w:webHidden/>
          </w:rPr>
          <w:instrText xml:space="preserve"> PAGEREF _Toc33700616 \h </w:instrText>
        </w:r>
        <w:r w:rsidR="00EB04E4">
          <w:rPr>
            <w:webHidden/>
          </w:rPr>
        </w:r>
        <w:r w:rsidR="00EB04E4">
          <w:rPr>
            <w:webHidden/>
          </w:rPr>
          <w:fldChar w:fldCharType="separate"/>
        </w:r>
        <w:r>
          <w:rPr>
            <w:webHidden/>
          </w:rPr>
          <w:t>8</w:t>
        </w:r>
        <w:r w:rsidR="00EB04E4">
          <w:rPr>
            <w:webHidden/>
          </w:rPr>
          <w:fldChar w:fldCharType="end"/>
        </w:r>
      </w:hyperlink>
    </w:p>
    <w:p w14:paraId="0BBC4513" w14:textId="391B0BF5" w:rsidR="00EB04E4" w:rsidRDefault="00DF313B">
      <w:pPr>
        <w:pStyle w:val="TOC2"/>
        <w:rPr>
          <w:rFonts w:asciiTheme="minorHAnsi" w:eastAsiaTheme="minorEastAsia" w:hAnsiTheme="minorHAnsi" w:cstheme="minorBidi"/>
          <w:szCs w:val="22"/>
          <w:lang w:eastAsia="en-AU"/>
        </w:rPr>
      </w:pPr>
      <w:hyperlink w:anchor="_Toc33700617" w:history="1">
        <w:r w:rsidR="00EB04E4" w:rsidRPr="00484063">
          <w:rPr>
            <w:rStyle w:val="Hyperlink"/>
            <w:rFonts w:asciiTheme="majorHAnsi" w:hAnsiTheme="majorHAnsi" w:cstheme="majorHAnsi"/>
          </w:rPr>
          <w:t>1.3</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Scope and terms of reference</w:t>
        </w:r>
        <w:r w:rsidR="00EB04E4">
          <w:rPr>
            <w:webHidden/>
          </w:rPr>
          <w:tab/>
        </w:r>
        <w:r w:rsidR="00EB04E4">
          <w:rPr>
            <w:webHidden/>
          </w:rPr>
          <w:fldChar w:fldCharType="begin"/>
        </w:r>
        <w:r w:rsidR="00EB04E4">
          <w:rPr>
            <w:webHidden/>
          </w:rPr>
          <w:instrText xml:space="preserve"> PAGEREF _Toc33700617 \h </w:instrText>
        </w:r>
        <w:r w:rsidR="00EB04E4">
          <w:rPr>
            <w:webHidden/>
          </w:rPr>
        </w:r>
        <w:r w:rsidR="00EB04E4">
          <w:rPr>
            <w:webHidden/>
          </w:rPr>
          <w:fldChar w:fldCharType="separate"/>
        </w:r>
        <w:r>
          <w:rPr>
            <w:webHidden/>
          </w:rPr>
          <w:t>13</w:t>
        </w:r>
        <w:r w:rsidR="00EB04E4">
          <w:rPr>
            <w:webHidden/>
          </w:rPr>
          <w:fldChar w:fldCharType="end"/>
        </w:r>
      </w:hyperlink>
    </w:p>
    <w:p w14:paraId="50B2B102" w14:textId="7C240EBE" w:rsidR="00EB04E4" w:rsidRDefault="00DF313B">
      <w:pPr>
        <w:pStyle w:val="TOC1"/>
        <w:rPr>
          <w:rFonts w:asciiTheme="minorHAnsi" w:eastAsiaTheme="minorEastAsia" w:hAnsiTheme="minorHAnsi" w:cstheme="minorBidi"/>
          <w:b w:val="0"/>
          <w:szCs w:val="22"/>
        </w:rPr>
      </w:pPr>
      <w:hyperlink w:anchor="_Toc33700618" w:history="1">
        <w:r w:rsidR="00EB04E4" w:rsidRPr="00484063">
          <w:rPr>
            <w:rStyle w:val="Hyperlink"/>
            <w:rFonts w:asciiTheme="majorHAnsi" w:hAnsiTheme="majorHAnsi" w:cstheme="majorHAnsi"/>
          </w:rPr>
          <w:t>2.</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Methodology</w:t>
        </w:r>
        <w:r w:rsidR="00EB04E4">
          <w:rPr>
            <w:webHidden/>
          </w:rPr>
          <w:tab/>
        </w:r>
        <w:r w:rsidR="00EB04E4">
          <w:rPr>
            <w:webHidden/>
          </w:rPr>
          <w:fldChar w:fldCharType="begin"/>
        </w:r>
        <w:r w:rsidR="00EB04E4">
          <w:rPr>
            <w:webHidden/>
          </w:rPr>
          <w:instrText xml:space="preserve"> PAGEREF _Toc33700618 \h </w:instrText>
        </w:r>
        <w:r w:rsidR="00EB04E4">
          <w:rPr>
            <w:webHidden/>
          </w:rPr>
        </w:r>
        <w:r w:rsidR="00EB04E4">
          <w:rPr>
            <w:webHidden/>
          </w:rPr>
          <w:fldChar w:fldCharType="separate"/>
        </w:r>
        <w:r>
          <w:rPr>
            <w:webHidden/>
          </w:rPr>
          <w:t>14</w:t>
        </w:r>
        <w:r w:rsidR="00EB04E4">
          <w:rPr>
            <w:webHidden/>
          </w:rPr>
          <w:fldChar w:fldCharType="end"/>
        </w:r>
      </w:hyperlink>
    </w:p>
    <w:p w14:paraId="723D8206" w14:textId="105B862C" w:rsidR="00EB04E4" w:rsidRDefault="00DF313B">
      <w:pPr>
        <w:pStyle w:val="TOC1"/>
        <w:rPr>
          <w:rFonts w:asciiTheme="minorHAnsi" w:eastAsiaTheme="minorEastAsia" w:hAnsiTheme="minorHAnsi" w:cstheme="minorBidi"/>
          <w:b w:val="0"/>
          <w:szCs w:val="22"/>
        </w:rPr>
      </w:pPr>
      <w:hyperlink w:anchor="_Toc33700619" w:history="1">
        <w:r w:rsidR="00EB04E4" w:rsidRPr="00484063">
          <w:rPr>
            <w:rStyle w:val="Hyperlink"/>
            <w:rFonts w:asciiTheme="majorHAnsi" w:hAnsiTheme="majorHAnsi" w:cstheme="majorHAnsi"/>
          </w:rPr>
          <w:t>3.</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Performance of the NPA</w:t>
        </w:r>
        <w:r w:rsidR="00EB04E4">
          <w:rPr>
            <w:webHidden/>
          </w:rPr>
          <w:tab/>
        </w:r>
        <w:r w:rsidR="00EB04E4">
          <w:rPr>
            <w:webHidden/>
          </w:rPr>
          <w:fldChar w:fldCharType="begin"/>
        </w:r>
        <w:r w:rsidR="00EB04E4">
          <w:rPr>
            <w:webHidden/>
          </w:rPr>
          <w:instrText xml:space="preserve"> PAGEREF _Toc33700619 \h </w:instrText>
        </w:r>
        <w:r w:rsidR="00EB04E4">
          <w:rPr>
            <w:webHidden/>
          </w:rPr>
        </w:r>
        <w:r w:rsidR="00EB04E4">
          <w:rPr>
            <w:webHidden/>
          </w:rPr>
          <w:fldChar w:fldCharType="separate"/>
        </w:r>
        <w:r>
          <w:rPr>
            <w:webHidden/>
          </w:rPr>
          <w:t>17</w:t>
        </w:r>
        <w:r w:rsidR="00EB04E4">
          <w:rPr>
            <w:webHidden/>
          </w:rPr>
          <w:fldChar w:fldCharType="end"/>
        </w:r>
      </w:hyperlink>
    </w:p>
    <w:p w14:paraId="3CB21A63" w14:textId="0F050D92" w:rsidR="00EB04E4" w:rsidRDefault="00DF313B">
      <w:pPr>
        <w:pStyle w:val="TOC2"/>
        <w:rPr>
          <w:rFonts w:asciiTheme="minorHAnsi" w:eastAsiaTheme="minorEastAsia" w:hAnsiTheme="minorHAnsi" w:cstheme="minorBidi"/>
          <w:szCs w:val="22"/>
          <w:lang w:eastAsia="en-AU"/>
        </w:rPr>
      </w:pPr>
      <w:hyperlink w:anchor="_Toc33700620" w:history="1">
        <w:r w:rsidR="00EB04E4" w:rsidRPr="00484063">
          <w:rPr>
            <w:rStyle w:val="Hyperlink"/>
            <w:rFonts w:asciiTheme="majorHAnsi" w:hAnsiTheme="majorHAnsi" w:cstheme="majorHAnsi"/>
          </w:rPr>
          <w:t>3.1</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Effectiveness of the NPA in contributing to water reforms</w:t>
        </w:r>
        <w:r w:rsidR="00EB04E4">
          <w:rPr>
            <w:webHidden/>
          </w:rPr>
          <w:tab/>
        </w:r>
        <w:r w:rsidR="00EB04E4">
          <w:rPr>
            <w:webHidden/>
          </w:rPr>
          <w:fldChar w:fldCharType="begin"/>
        </w:r>
        <w:r w:rsidR="00EB04E4">
          <w:rPr>
            <w:webHidden/>
          </w:rPr>
          <w:instrText xml:space="preserve"> PAGEREF _Toc33700620 \h </w:instrText>
        </w:r>
        <w:r w:rsidR="00EB04E4">
          <w:rPr>
            <w:webHidden/>
          </w:rPr>
        </w:r>
        <w:r w:rsidR="00EB04E4">
          <w:rPr>
            <w:webHidden/>
          </w:rPr>
          <w:fldChar w:fldCharType="separate"/>
        </w:r>
        <w:r>
          <w:rPr>
            <w:webHidden/>
          </w:rPr>
          <w:t>17</w:t>
        </w:r>
        <w:r w:rsidR="00EB04E4">
          <w:rPr>
            <w:webHidden/>
          </w:rPr>
          <w:fldChar w:fldCharType="end"/>
        </w:r>
      </w:hyperlink>
    </w:p>
    <w:p w14:paraId="17AB2BB2" w14:textId="2D34A343" w:rsidR="00EB04E4" w:rsidRDefault="00DF313B">
      <w:pPr>
        <w:pStyle w:val="TOC2"/>
        <w:rPr>
          <w:rFonts w:asciiTheme="minorHAnsi" w:eastAsiaTheme="minorEastAsia" w:hAnsiTheme="minorHAnsi" w:cstheme="minorBidi"/>
          <w:szCs w:val="22"/>
          <w:lang w:eastAsia="en-AU"/>
        </w:rPr>
      </w:pPr>
      <w:hyperlink w:anchor="_Toc33700621" w:history="1">
        <w:r w:rsidR="00EB04E4" w:rsidRPr="00484063">
          <w:rPr>
            <w:rStyle w:val="Hyperlink"/>
            <w:rFonts w:asciiTheme="majorHAnsi" w:hAnsiTheme="majorHAnsi" w:cstheme="majorHAnsi"/>
          </w:rPr>
          <w:t>3.2</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Operations and efficiency of the NPA implementation arrangements</w:t>
        </w:r>
        <w:r w:rsidR="00EB04E4">
          <w:rPr>
            <w:webHidden/>
          </w:rPr>
          <w:tab/>
        </w:r>
        <w:r w:rsidR="00EB04E4">
          <w:rPr>
            <w:webHidden/>
          </w:rPr>
          <w:fldChar w:fldCharType="begin"/>
        </w:r>
        <w:r w:rsidR="00EB04E4">
          <w:rPr>
            <w:webHidden/>
          </w:rPr>
          <w:instrText xml:space="preserve"> PAGEREF _Toc33700621 \h </w:instrText>
        </w:r>
        <w:r w:rsidR="00EB04E4">
          <w:rPr>
            <w:webHidden/>
          </w:rPr>
        </w:r>
        <w:r w:rsidR="00EB04E4">
          <w:rPr>
            <w:webHidden/>
          </w:rPr>
          <w:fldChar w:fldCharType="separate"/>
        </w:r>
        <w:r>
          <w:rPr>
            <w:webHidden/>
          </w:rPr>
          <w:t>24</w:t>
        </w:r>
        <w:r w:rsidR="00EB04E4">
          <w:rPr>
            <w:webHidden/>
          </w:rPr>
          <w:fldChar w:fldCharType="end"/>
        </w:r>
      </w:hyperlink>
    </w:p>
    <w:p w14:paraId="1CB81C70" w14:textId="1D6DF050" w:rsidR="00EB04E4" w:rsidRDefault="00DF313B">
      <w:pPr>
        <w:pStyle w:val="TOC2"/>
        <w:rPr>
          <w:rFonts w:asciiTheme="minorHAnsi" w:eastAsiaTheme="minorEastAsia" w:hAnsiTheme="minorHAnsi" w:cstheme="minorBidi"/>
          <w:szCs w:val="22"/>
          <w:lang w:eastAsia="en-AU"/>
        </w:rPr>
      </w:pPr>
      <w:hyperlink w:anchor="_Toc33700622" w:history="1">
        <w:r w:rsidR="00EB04E4" w:rsidRPr="00484063">
          <w:rPr>
            <w:rStyle w:val="Hyperlink"/>
            <w:rFonts w:asciiTheme="majorHAnsi" w:hAnsiTheme="majorHAnsi" w:cstheme="majorHAnsi"/>
          </w:rPr>
          <w:t>3.3</w:t>
        </w:r>
        <w:r w:rsidR="00EB04E4">
          <w:rPr>
            <w:rFonts w:asciiTheme="minorHAnsi" w:eastAsiaTheme="minorEastAsia" w:hAnsiTheme="minorHAnsi" w:cstheme="minorBidi"/>
            <w:szCs w:val="22"/>
            <w:lang w:eastAsia="en-AU"/>
          </w:rPr>
          <w:tab/>
        </w:r>
        <w:r w:rsidR="00EB04E4" w:rsidRPr="00484063">
          <w:rPr>
            <w:rStyle w:val="Hyperlink"/>
            <w:rFonts w:asciiTheme="majorHAnsi" w:hAnsiTheme="majorHAnsi" w:cstheme="majorHAnsi"/>
          </w:rPr>
          <w:t>Areas for improvement</w:t>
        </w:r>
        <w:r w:rsidR="00EB04E4">
          <w:rPr>
            <w:webHidden/>
          </w:rPr>
          <w:tab/>
        </w:r>
        <w:r w:rsidR="00EB04E4">
          <w:rPr>
            <w:webHidden/>
          </w:rPr>
          <w:fldChar w:fldCharType="begin"/>
        </w:r>
        <w:r w:rsidR="00EB04E4">
          <w:rPr>
            <w:webHidden/>
          </w:rPr>
          <w:instrText xml:space="preserve"> PAGEREF _Toc33700622 \h </w:instrText>
        </w:r>
        <w:r w:rsidR="00EB04E4">
          <w:rPr>
            <w:webHidden/>
          </w:rPr>
        </w:r>
        <w:r w:rsidR="00EB04E4">
          <w:rPr>
            <w:webHidden/>
          </w:rPr>
          <w:fldChar w:fldCharType="separate"/>
        </w:r>
        <w:r>
          <w:rPr>
            <w:webHidden/>
          </w:rPr>
          <w:t>31</w:t>
        </w:r>
        <w:r w:rsidR="00EB04E4">
          <w:rPr>
            <w:webHidden/>
          </w:rPr>
          <w:fldChar w:fldCharType="end"/>
        </w:r>
      </w:hyperlink>
    </w:p>
    <w:p w14:paraId="5E27C72F" w14:textId="50745677" w:rsidR="00EB04E4" w:rsidRDefault="00DF313B">
      <w:pPr>
        <w:pStyle w:val="TOC1"/>
        <w:tabs>
          <w:tab w:val="left" w:pos="1701"/>
        </w:tabs>
        <w:rPr>
          <w:rFonts w:asciiTheme="minorHAnsi" w:eastAsiaTheme="minorEastAsia" w:hAnsiTheme="minorHAnsi" w:cstheme="minorBidi"/>
          <w:b w:val="0"/>
          <w:szCs w:val="22"/>
        </w:rPr>
      </w:pPr>
      <w:hyperlink w:anchor="_Toc33700623" w:history="1">
        <w:r w:rsidR="00EB04E4" w:rsidRPr="00484063">
          <w:rPr>
            <w:rStyle w:val="Hyperlink"/>
            <w:rFonts w:asciiTheme="majorHAnsi" w:hAnsiTheme="majorHAnsi"/>
            <w14:scene3d>
              <w14:camera w14:prst="orthographicFront"/>
              <w14:lightRig w14:rig="threePt" w14:dir="t">
                <w14:rot w14:lat="0" w14:lon="0" w14:rev="0"/>
              </w14:lightRig>
            </w14:scene3d>
          </w:rPr>
          <w:t>Appendix 1.</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NPA logic</w:t>
        </w:r>
        <w:r w:rsidR="00EB04E4">
          <w:rPr>
            <w:webHidden/>
          </w:rPr>
          <w:tab/>
        </w:r>
        <w:r w:rsidR="00EB04E4">
          <w:rPr>
            <w:webHidden/>
          </w:rPr>
          <w:fldChar w:fldCharType="begin"/>
        </w:r>
        <w:r w:rsidR="00EB04E4">
          <w:rPr>
            <w:webHidden/>
          </w:rPr>
          <w:instrText xml:space="preserve"> PAGEREF _Toc33700623 \h </w:instrText>
        </w:r>
        <w:r w:rsidR="00EB04E4">
          <w:rPr>
            <w:webHidden/>
          </w:rPr>
        </w:r>
        <w:r w:rsidR="00EB04E4">
          <w:rPr>
            <w:webHidden/>
          </w:rPr>
          <w:fldChar w:fldCharType="separate"/>
        </w:r>
        <w:r>
          <w:rPr>
            <w:webHidden/>
          </w:rPr>
          <w:t>38</w:t>
        </w:r>
        <w:r w:rsidR="00EB04E4">
          <w:rPr>
            <w:webHidden/>
          </w:rPr>
          <w:fldChar w:fldCharType="end"/>
        </w:r>
      </w:hyperlink>
    </w:p>
    <w:p w14:paraId="37112F64" w14:textId="3D34A45E" w:rsidR="00EB04E4" w:rsidRDefault="00DF313B">
      <w:pPr>
        <w:pStyle w:val="TOC1"/>
        <w:tabs>
          <w:tab w:val="left" w:pos="1701"/>
        </w:tabs>
        <w:rPr>
          <w:rFonts w:asciiTheme="minorHAnsi" w:eastAsiaTheme="minorEastAsia" w:hAnsiTheme="minorHAnsi" w:cstheme="minorBidi"/>
          <w:b w:val="0"/>
          <w:szCs w:val="22"/>
        </w:rPr>
      </w:pPr>
      <w:hyperlink w:anchor="_Toc33700624" w:history="1">
        <w:r w:rsidR="00EB04E4" w:rsidRPr="00484063">
          <w:rPr>
            <w:rStyle w:val="Hyperlink"/>
            <w:rFonts w:asciiTheme="majorHAnsi" w:hAnsiTheme="majorHAnsi"/>
            <w14:scene3d>
              <w14:camera w14:prst="orthographicFront"/>
              <w14:lightRig w14:rig="threePt" w14:dir="t">
                <w14:rot w14:lat="0" w14:lon="0" w14:rev="0"/>
              </w14:lightRig>
            </w14:scene3d>
          </w:rPr>
          <w:t>Appendix 2.</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Assessment against IGAFFR principles</w:t>
        </w:r>
        <w:r w:rsidR="00EB04E4">
          <w:rPr>
            <w:webHidden/>
          </w:rPr>
          <w:tab/>
        </w:r>
        <w:r w:rsidR="00EB04E4">
          <w:rPr>
            <w:webHidden/>
          </w:rPr>
          <w:fldChar w:fldCharType="begin"/>
        </w:r>
        <w:r w:rsidR="00EB04E4">
          <w:rPr>
            <w:webHidden/>
          </w:rPr>
          <w:instrText xml:space="preserve"> PAGEREF _Toc33700624 \h </w:instrText>
        </w:r>
        <w:r w:rsidR="00EB04E4">
          <w:rPr>
            <w:webHidden/>
          </w:rPr>
        </w:r>
        <w:r w:rsidR="00EB04E4">
          <w:rPr>
            <w:webHidden/>
          </w:rPr>
          <w:fldChar w:fldCharType="separate"/>
        </w:r>
        <w:r>
          <w:rPr>
            <w:webHidden/>
          </w:rPr>
          <w:t>39</w:t>
        </w:r>
        <w:r w:rsidR="00EB04E4">
          <w:rPr>
            <w:webHidden/>
          </w:rPr>
          <w:fldChar w:fldCharType="end"/>
        </w:r>
      </w:hyperlink>
    </w:p>
    <w:p w14:paraId="2953D696" w14:textId="3391CF87" w:rsidR="00EB04E4" w:rsidRDefault="00DF313B">
      <w:pPr>
        <w:pStyle w:val="TOC1"/>
        <w:tabs>
          <w:tab w:val="left" w:pos="1701"/>
        </w:tabs>
        <w:rPr>
          <w:rFonts w:asciiTheme="minorHAnsi" w:eastAsiaTheme="minorEastAsia" w:hAnsiTheme="minorHAnsi" w:cstheme="minorBidi"/>
          <w:b w:val="0"/>
          <w:szCs w:val="22"/>
        </w:rPr>
      </w:pPr>
      <w:hyperlink w:anchor="_Toc33700625" w:history="1">
        <w:r w:rsidR="00EB04E4" w:rsidRPr="00484063">
          <w:rPr>
            <w:rStyle w:val="Hyperlink"/>
            <w:rFonts w:asciiTheme="majorHAnsi" w:hAnsiTheme="majorHAnsi"/>
            <w14:scene3d>
              <w14:camera w14:prst="orthographicFront"/>
              <w14:lightRig w14:rig="threePt" w14:dir="t">
                <w14:rot w14:lat="0" w14:lon="0" w14:rev="0"/>
              </w14:lightRig>
            </w14:scene3d>
          </w:rPr>
          <w:t>Appendix 3.</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Best practice for NPAs</w:t>
        </w:r>
        <w:r w:rsidR="00EB04E4">
          <w:rPr>
            <w:webHidden/>
          </w:rPr>
          <w:tab/>
        </w:r>
        <w:r w:rsidR="00EB04E4">
          <w:rPr>
            <w:webHidden/>
          </w:rPr>
          <w:fldChar w:fldCharType="begin"/>
        </w:r>
        <w:r w:rsidR="00EB04E4">
          <w:rPr>
            <w:webHidden/>
          </w:rPr>
          <w:instrText xml:space="preserve"> PAGEREF _Toc33700625 \h </w:instrText>
        </w:r>
        <w:r w:rsidR="00EB04E4">
          <w:rPr>
            <w:webHidden/>
          </w:rPr>
        </w:r>
        <w:r w:rsidR="00EB04E4">
          <w:rPr>
            <w:webHidden/>
          </w:rPr>
          <w:fldChar w:fldCharType="separate"/>
        </w:r>
        <w:r>
          <w:rPr>
            <w:webHidden/>
          </w:rPr>
          <w:t>43</w:t>
        </w:r>
        <w:r w:rsidR="00EB04E4">
          <w:rPr>
            <w:webHidden/>
          </w:rPr>
          <w:fldChar w:fldCharType="end"/>
        </w:r>
      </w:hyperlink>
    </w:p>
    <w:p w14:paraId="105C085E" w14:textId="3AF72206" w:rsidR="00EB04E4" w:rsidRDefault="00DF313B">
      <w:pPr>
        <w:pStyle w:val="TOC1"/>
        <w:tabs>
          <w:tab w:val="left" w:pos="1701"/>
        </w:tabs>
        <w:rPr>
          <w:rFonts w:asciiTheme="minorHAnsi" w:eastAsiaTheme="minorEastAsia" w:hAnsiTheme="minorHAnsi" w:cstheme="minorBidi"/>
          <w:b w:val="0"/>
          <w:szCs w:val="22"/>
        </w:rPr>
      </w:pPr>
      <w:hyperlink w:anchor="_Toc33700626" w:history="1">
        <w:r w:rsidR="00EB04E4" w:rsidRPr="00484063">
          <w:rPr>
            <w:rStyle w:val="Hyperlink"/>
            <w:rFonts w:asciiTheme="majorHAnsi" w:hAnsiTheme="majorHAnsi"/>
            <w14:scene3d>
              <w14:camera w14:prst="orthographicFront"/>
              <w14:lightRig w14:rig="threePt" w14:dir="t">
                <w14:rot w14:lat="0" w14:lon="0" w14:rev="0"/>
              </w14:lightRig>
            </w14:scene3d>
          </w:rPr>
          <w:t>Appendix 4.</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Documents reviewed</w:t>
        </w:r>
        <w:r w:rsidR="00EB04E4">
          <w:rPr>
            <w:webHidden/>
          </w:rPr>
          <w:tab/>
        </w:r>
        <w:r w:rsidR="00EB04E4">
          <w:rPr>
            <w:webHidden/>
          </w:rPr>
          <w:fldChar w:fldCharType="begin"/>
        </w:r>
        <w:r w:rsidR="00EB04E4">
          <w:rPr>
            <w:webHidden/>
          </w:rPr>
          <w:instrText xml:space="preserve"> PAGEREF _Toc33700626 \h </w:instrText>
        </w:r>
        <w:r w:rsidR="00EB04E4">
          <w:rPr>
            <w:webHidden/>
          </w:rPr>
        </w:r>
        <w:r w:rsidR="00EB04E4">
          <w:rPr>
            <w:webHidden/>
          </w:rPr>
          <w:fldChar w:fldCharType="separate"/>
        </w:r>
        <w:r>
          <w:rPr>
            <w:webHidden/>
          </w:rPr>
          <w:t>46</w:t>
        </w:r>
        <w:r w:rsidR="00EB04E4">
          <w:rPr>
            <w:webHidden/>
          </w:rPr>
          <w:fldChar w:fldCharType="end"/>
        </w:r>
      </w:hyperlink>
    </w:p>
    <w:p w14:paraId="35B9C9C1" w14:textId="70C4328C" w:rsidR="00EB04E4" w:rsidRDefault="00DF313B">
      <w:pPr>
        <w:pStyle w:val="TOC1"/>
        <w:tabs>
          <w:tab w:val="left" w:pos="1701"/>
        </w:tabs>
        <w:rPr>
          <w:rFonts w:asciiTheme="minorHAnsi" w:eastAsiaTheme="minorEastAsia" w:hAnsiTheme="minorHAnsi" w:cstheme="minorBidi"/>
          <w:b w:val="0"/>
          <w:szCs w:val="22"/>
        </w:rPr>
      </w:pPr>
      <w:hyperlink w:anchor="_Toc33700627" w:history="1">
        <w:r w:rsidR="00EB04E4" w:rsidRPr="00484063">
          <w:rPr>
            <w:rStyle w:val="Hyperlink"/>
            <w:rFonts w:asciiTheme="majorHAnsi" w:hAnsiTheme="majorHAnsi"/>
            <w14:scene3d>
              <w14:camera w14:prst="orthographicFront"/>
              <w14:lightRig w14:rig="threePt" w14:dir="t">
                <w14:rot w14:lat="0" w14:lon="0" w14:rev="0"/>
              </w14:lightRig>
            </w14:scene3d>
          </w:rPr>
          <w:t>Appendix 5.</w:t>
        </w:r>
        <w:r w:rsidR="00EB04E4">
          <w:rPr>
            <w:rFonts w:asciiTheme="minorHAnsi" w:eastAsiaTheme="minorEastAsia" w:hAnsiTheme="minorHAnsi" w:cstheme="minorBidi"/>
            <w:b w:val="0"/>
            <w:szCs w:val="22"/>
          </w:rPr>
          <w:tab/>
        </w:r>
        <w:r w:rsidR="00EB04E4" w:rsidRPr="00484063">
          <w:rPr>
            <w:rStyle w:val="Hyperlink"/>
            <w:rFonts w:asciiTheme="majorHAnsi" w:hAnsiTheme="majorHAnsi" w:cstheme="majorHAnsi"/>
          </w:rPr>
          <w:t>NPA milestones</w:t>
        </w:r>
        <w:r w:rsidR="00EB04E4">
          <w:rPr>
            <w:webHidden/>
          </w:rPr>
          <w:tab/>
        </w:r>
        <w:r w:rsidR="00EB04E4">
          <w:rPr>
            <w:webHidden/>
          </w:rPr>
          <w:fldChar w:fldCharType="begin"/>
        </w:r>
        <w:r w:rsidR="00EB04E4">
          <w:rPr>
            <w:webHidden/>
          </w:rPr>
          <w:instrText xml:space="preserve"> PAGEREF _Toc33700627 \h </w:instrText>
        </w:r>
        <w:r w:rsidR="00EB04E4">
          <w:rPr>
            <w:webHidden/>
          </w:rPr>
        </w:r>
        <w:r w:rsidR="00EB04E4">
          <w:rPr>
            <w:webHidden/>
          </w:rPr>
          <w:fldChar w:fldCharType="separate"/>
        </w:r>
        <w:r>
          <w:rPr>
            <w:webHidden/>
          </w:rPr>
          <w:t>50</w:t>
        </w:r>
        <w:r w:rsidR="00EB04E4">
          <w:rPr>
            <w:webHidden/>
          </w:rPr>
          <w:fldChar w:fldCharType="end"/>
        </w:r>
      </w:hyperlink>
    </w:p>
    <w:p w14:paraId="70A3459E" w14:textId="216A48B2" w:rsidR="001334F9" w:rsidRPr="00AD1496" w:rsidRDefault="00D273E8" w:rsidP="009E264A">
      <w:pPr>
        <w:rPr>
          <w:rFonts w:asciiTheme="majorHAnsi" w:hAnsiTheme="majorHAnsi" w:cstheme="majorHAnsi"/>
        </w:rPr>
      </w:pPr>
      <w:r w:rsidRPr="00AD1496">
        <w:rPr>
          <w:rFonts w:asciiTheme="majorHAnsi" w:hAnsiTheme="majorHAnsi" w:cstheme="majorHAnsi"/>
          <w:noProof/>
          <w:sz w:val="21"/>
          <w:szCs w:val="24"/>
          <w:lang w:eastAsia="en-AU"/>
        </w:rPr>
        <w:fldChar w:fldCharType="end"/>
      </w:r>
    </w:p>
    <w:p w14:paraId="42B2BA2E" w14:textId="77777777" w:rsidR="001334F9" w:rsidRPr="00AD1496" w:rsidRDefault="001334F9" w:rsidP="001334F9">
      <w:pPr>
        <w:rPr>
          <w:rFonts w:asciiTheme="majorHAnsi" w:hAnsiTheme="majorHAnsi" w:cstheme="majorHAnsi"/>
        </w:rPr>
      </w:pPr>
    </w:p>
    <w:p w14:paraId="5D9D533F" w14:textId="77777777" w:rsidR="001334F9" w:rsidRPr="00AD1496" w:rsidRDefault="001334F9" w:rsidP="001334F9">
      <w:pPr>
        <w:rPr>
          <w:rFonts w:asciiTheme="majorHAnsi" w:hAnsiTheme="majorHAnsi" w:cstheme="majorHAnsi"/>
        </w:rPr>
        <w:sectPr w:rsidR="001334F9" w:rsidRPr="00AD1496" w:rsidSect="00E562BA">
          <w:footerReference w:type="default" r:id="rId14"/>
          <w:pgSz w:w="11906" w:h="16838" w:code="9"/>
          <w:pgMar w:top="1418" w:right="1418" w:bottom="1418" w:left="1418" w:header="567" w:footer="567" w:gutter="0"/>
          <w:pgNumType w:fmt="lowerRoman"/>
          <w:cols w:space="708"/>
          <w:docGrid w:linePitch="360"/>
        </w:sectPr>
      </w:pPr>
    </w:p>
    <w:p w14:paraId="778F7E3C" w14:textId="77777777" w:rsidR="001334F9" w:rsidRPr="00AD1496" w:rsidRDefault="001334F9" w:rsidP="007C2262">
      <w:pPr>
        <w:pStyle w:val="TOCHeading"/>
        <w:rPr>
          <w:rFonts w:asciiTheme="majorHAnsi" w:hAnsiTheme="majorHAnsi" w:cstheme="majorHAnsi"/>
        </w:rPr>
      </w:pPr>
      <w:r w:rsidRPr="00AD1496">
        <w:rPr>
          <w:rFonts w:asciiTheme="majorHAnsi" w:hAnsiTheme="majorHAnsi" w:cstheme="majorHAnsi"/>
        </w:rPr>
        <w:lastRenderedPageBreak/>
        <w:t>Abbreviations and acronyms</w:t>
      </w:r>
    </w:p>
    <w:tbl>
      <w:tblPr>
        <w:tblW w:w="9070" w:type="dxa"/>
        <w:tblLayout w:type="fixed"/>
        <w:tblLook w:val="0400" w:firstRow="0" w:lastRow="0" w:firstColumn="0" w:lastColumn="0" w:noHBand="0" w:noVBand="1"/>
      </w:tblPr>
      <w:tblGrid>
        <w:gridCol w:w="1368"/>
        <w:gridCol w:w="7702"/>
      </w:tblGrid>
      <w:tr w:rsidR="00702919" w:rsidRPr="00AD1496" w14:paraId="57ECF5F7" w14:textId="77777777" w:rsidTr="00702919">
        <w:tc>
          <w:tcPr>
            <w:tcW w:w="1368" w:type="dxa"/>
          </w:tcPr>
          <w:p w14:paraId="56EAC8A5"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ACT</w:t>
            </w:r>
          </w:p>
        </w:tc>
        <w:tc>
          <w:tcPr>
            <w:tcW w:w="7702" w:type="dxa"/>
          </w:tcPr>
          <w:p w14:paraId="08203DBB"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Australian Capital Territory</w:t>
            </w:r>
          </w:p>
        </w:tc>
      </w:tr>
      <w:tr w:rsidR="00702919" w:rsidRPr="00AD1496" w14:paraId="5D4509B2" w14:textId="77777777" w:rsidTr="00702919">
        <w:tc>
          <w:tcPr>
            <w:tcW w:w="1368" w:type="dxa"/>
          </w:tcPr>
          <w:p w14:paraId="029F5CD1"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CEWO</w:t>
            </w:r>
          </w:p>
        </w:tc>
        <w:tc>
          <w:tcPr>
            <w:tcW w:w="7702" w:type="dxa"/>
          </w:tcPr>
          <w:p w14:paraId="36B873F3" w14:textId="3E8EEAB0" w:rsidR="00702919" w:rsidRPr="00AD1496" w:rsidRDefault="00702919" w:rsidP="00714BBE">
            <w:pPr>
              <w:spacing w:after="120"/>
              <w:rPr>
                <w:rFonts w:asciiTheme="majorHAnsi" w:hAnsiTheme="majorHAnsi" w:cstheme="majorHAnsi"/>
              </w:rPr>
            </w:pPr>
            <w:r w:rsidRPr="00AD1496">
              <w:rPr>
                <w:rFonts w:asciiTheme="majorHAnsi" w:hAnsiTheme="majorHAnsi" w:cstheme="majorHAnsi"/>
              </w:rPr>
              <w:t>Commonwealth Environmental Water Office</w:t>
            </w:r>
            <w:r w:rsidR="00714BBE">
              <w:rPr>
                <w:rFonts w:asciiTheme="majorHAnsi" w:hAnsiTheme="majorHAnsi" w:cstheme="majorHAnsi"/>
              </w:rPr>
              <w:br/>
              <w:t>(including advice from the Commonwealth Environmental Water Holder)</w:t>
            </w:r>
          </w:p>
        </w:tc>
      </w:tr>
      <w:tr w:rsidR="00702919" w:rsidRPr="00AD1496" w14:paraId="2AB6EBC5" w14:textId="77777777" w:rsidTr="00702919">
        <w:tc>
          <w:tcPr>
            <w:tcW w:w="1368" w:type="dxa"/>
          </w:tcPr>
          <w:p w14:paraId="3C91C908"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CFFR</w:t>
            </w:r>
          </w:p>
        </w:tc>
        <w:tc>
          <w:tcPr>
            <w:tcW w:w="7702" w:type="dxa"/>
          </w:tcPr>
          <w:p w14:paraId="3FDA09CE"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Council on Federal Financial Relations</w:t>
            </w:r>
          </w:p>
        </w:tc>
      </w:tr>
      <w:tr w:rsidR="00702919" w:rsidRPr="00AD1496" w14:paraId="3F477785" w14:textId="77777777" w:rsidTr="00702919">
        <w:tc>
          <w:tcPr>
            <w:tcW w:w="1368" w:type="dxa"/>
          </w:tcPr>
          <w:p w14:paraId="467FA66E"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COAG</w:t>
            </w:r>
          </w:p>
        </w:tc>
        <w:tc>
          <w:tcPr>
            <w:tcW w:w="7702" w:type="dxa"/>
          </w:tcPr>
          <w:p w14:paraId="2A2096D7"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Council of Australian Governments</w:t>
            </w:r>
          </w:p>
        </w:tc>
      </w:tr>
      <w:tr w:rsidR="00562090" w:rsidRPr="00AD1496" w:rsidDel="00A1761B" w14:paraId="012AD6E3" w14:textId="77777777" w:rsidTr="00702919">
        <w:tc>
          <w:tcPr>
            <w:tcW w:w="1368" w:type="dxa"/>
          </w:tcPr>
          <w:p w14:paraId="21C47FEE" w14:textId="6382781D" w:rsidR="00562090" w:rsidRPr="00AD1496" w:rsidDel="00A1761B" w:rsidRDefault="00562090" w:rsidP="00DF73E9">
            <w:pPr>
              <w:spacing w:after="120"/>
              <w:rPr>
                <w:rFonts w:asciiTheme="majorHAnsi" w:hAnsiTheme="majorHAnsi" w:cstheme="majorHAnsi"/>
              </w:rPr>
            </w:pPr>
            <w:r w:rsidRPr="00AD1496">
              <w:rPr>
                <w:rFonts w:asciiTheme="majorHAnsi" w:hAnsiTheme="majorHAnsi" w:cstheme="majorHAnsi"/>
              </w:rPr>
              <w:t>DoE</w:t>
            </w:r>
          </w:p>
        </w:tc>
        <w:tc>
          <w:tcPr>
            <w:tcW w:w="7702" w:type="dxa"/>
          </w:tcPr>
          <w:p w14:paraId="0A6C8B5B" w14:textId="1F46CC7A" w:rsidR="00562090" w:rsidRPr="00AD1496" w:rsidDel="00A1761B" w:rsidRDefault="00562090" w:rsidP="00DF73E9">
            <w:pPr>
              <w:spacing w:after="120"/>
              <w:rPr>
                <w:rFonts w:asciiTheme="majorHAnsi" w:hAnsiTheme="majorHAnsi" w:cstheme="majorHAnsi"/>
              </w:rPr>
            </w:pPr>
            <w:r w:rsidRPr="00AD1496">
              <w:rPr>
                <w:rFonts w:asciiTheme="majorHAnsi" w:hAnsiTheme="majorHAnsi" w:cstheme="majorHAnsi"/>
              </w:rPr>
              <w:t>Department of the Environment</w:t>
            </w:r>
          </w:p>
        </w:tc>
      </w:tr>
      <w:tr w:rsidR="00B96D1A" w:rsidRPr="00AD1496" w14:paraId="444FF93A" w14:textId="77777777" w:rsidTr="00702919">
        <w:tc>
          <w:tcPr>
            <w:tcW w:w="1368" w:type="dxa"/>
          </w:tcPr>
          <w:p w14:paraId="33C0F2BF" w14:textId="77777777" w:rsidR="00B96D1A" w:rsidRPr="00AD1496" w:rsidRDefault="00B96D1A" w:rsidP="00DF73E9">
            <w:pPr>
              <w:spacing w:after="120"/>
              <w:rPr>
                <w:rFonts w:asciiTheme="majorHAnsi" w:hAnsiTheme="majorHAnsi" w:cstheme="majorHAnsi"/>
              </w:rPr>
            </w:pPr>
            <w:r w:rsidRPr="00AD1496">
              <w:rPr>
                <w:rFonts w:asciiTheme="majorHAnsi" w:hAnsiTheme="majorHAnsi" w:cstheme="majorHAnsi"/>
              </w:rPr>
              <w:t>IGA</w:t>
            </w:r>
          </w:p>
        </w:tc>
        <w:tc>
          <w:tcPr>
            <w:tcW w:w="7702" w:type="dxa"/>
          </w:tcPr>
          <w:p w14:paraId="0C2D6387" w14:textId="77777777" w:rsidR="00B96D1A" w:rsidRPr="00AD1496" w:rsidRDefault="00B96D1A" w:rsidP="00DF73E9">
            <w:pPr>
              <w:spacing w:after="120"/>
              <w:rPr>
                <w:rFonts w:asciiTheme="majorHAnsi" w:hAnsiTheme="majorHAnsi" w:cstheme="majorHAnsi"/>
              </w:rPr>
            </w:pPr>
            <w:r w:rsidRPr="00AD1496">
              <w:rPr>
                <w:rFonts w:asciiTheme="majorHAnsi" w:hAnsiTheme="majorHAnsi" w:cstheme="majorHAnsi"/>
              </w:rPr>
              <w:t>Intergovernmental Agreement on Implementing Water Reform in the Murray-Darling Basin</w:t>
            </w:r>
          </w:p>
        </w:tc>
      </w:tr>
      <w:tr w:rsidR="00702919" w:rsidRPr="00AD1496" w14:paraId="63120486" w14:textId="77777777" w:rsidTr="00702919">
        <w:tc>
          <w:tcPr>
            <w:tcW w:w="1368" w:type="dxa"/>
          </w:tcPr>
          <w:p w14:paraId="4B18EEFA"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IGAFFR</w:t>
            </w:r>
          </w:p>
        </w:tc>
        <w:tc>
          <w:tcPr>
            <w:tcW w:w="7702" w:type="dxa"/>
          </w:tcPr>
          <w:p w14:paraId="1694BC8C"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Intergovernmental Agreement on Federal Financial Relations</w:t>
            </w:r>
          </w:p>
        </w:tc>
      </w:tr>
      <w:tr w:rsidR="00702919" w:rsidRPr="00AD1496" w14:paraId="6DB14F85" w14:textId="77777777" w:rsidTr="00702919">
        <w:tc>
          <w:tcPr>
            <w:tcW w:w="1368" w:type="dxa"/>
          </w:tcPr>
          <w:p w14:paraId="48ECB318"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KPI</w:t>
            </w:r>
          </w:p>
        </w:tc>
        <w:tc>
          <w:tcPr>
            <w:tcW w:w="7702" w:type="dxa"/>
          </w:tcPr>
          <w:p w14:paraId="3B9F69F9"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Key Performance Indicator</w:t>
            </w:r>
          </w:p>
        </w:tc>
      </w:tr>
      <w:tr w:rsidR="003C06A0" w:rsidRPr="00AD1496" w14:paraId="27B36B9A" w14:textId="77777777" w:rsidTr="00702919">
        <w:tc>
          <w:tcPr>
            <w:tcW w:w="1368" w:type="dxa"/>
          </w:tcPr>
          <w:p w14:paraId="2FD69F4B" w14:textId="2933ADC4" w:rsidR="003C06A0" w:rsidRPr="00AD1496" w:rsidRDefault="003C06A0" w:rsidP="00DF73E9">
            <w:pPr>
              <w:spacing w:after="120"/>
              <w:rPr>
                <w:rFonts w:asciiTheme="majorHAnsi" w:hAnsiTheme="majorHAnsi" w:cstheme="majorHAnsi"/>
              </w:rPr>
            </w:pPr>
            <w:r>
              <w:rPr>
                <w:rFonts w:asciiTheme="majorHAnsi" w:hAnsiTheme="majorHAnsi" w:cstheme="majorHAnsi"/>
              </w:rPr>
              <w:t>LTWP</w:t>
            </w:r>
          </w:p>
        </w:tc>
        <w:tc>
          <w:tcPr>
            <w:tcW w:w="7702" w:type="dxa"/>
          </w:tcPr>
          <w:p w14:paraId="57A9C9E6" w14:textId="3E9E023C" w:rsidR="003C06A0" w:rsidRPr="00AD1496" w:rsidRDefault="003C06A0" w:rsidP="00DF73E9">
            <w:pPr>
              <w:spacing w:after="120"/>
              <w:rPr>
                <w:rFonts w:asciiTheme="majorHAnsi" w:hAnsiTheme="majorHAnsi" w:cstheme="majorHAnsi"/>
              </w:rPr>
            </w:pPr>
            <w:r>
              <w:rPr>
                <w:rFonts w:asciiTheme="majorHAnsi" w:hAnsiTheme="majorHAnsi" w:cstheme="majorHAnsi"/>
              </w:rPr>
              <w:t>Long-term environmental watering plans</w:t>
            </w:r>
          </w:p>
        </w:tc>
      </w:tr>
      <w:tr w:rsidR="00702919" w:rsidRPr="00AD1496" w14:paraId="7622F88F" w14:textId="77777777" w:rsidTr="00702919">
        <w:tc>
          <w:tcPr>
            <w:tcW w:w="1368" w:type="dxa"/>
          </w:tcPr>
          <w:p w14:paraId="464487E5"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MDB</w:t>
            </w:r>
          </w:p>
        </w:tc>
        <w:tc>
          <w:tcPr>
            <w:tcW w:w="7702" w:type="dxa"/>
          </w:tcPr>
          <w:p w14:paraId="4E1E294B"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Murray-Darling Basin</w:t>
            </w:r>
          </w:p>
        </w:tc>
      </w:tr>
      <w:tr w:rsidR="00702919" w:rsidRPr="00AD1496" w14:paraId="2CEF7E5F" w14:textId="77777777" w:rsidTr="00702919">
        <w:tc>
          <w:tcPr>
            <w:tcW w:w="1368" w:type="dxa"/>
          </w:tcPr>
          <w:p w14:paraId="36A68FBE"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MDBA</w:t>
            </w:r>
          </w:p>
        </w:tc>
        <w:tc>
          <w:tcPr>
            <w:tcW w:w="7702" w:type="dxa"/>
          </w:tcPr>
          <w:p w14:paraId="2EE5475D"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Murray-Darling Basin Authority</w:t>
            </w:r>
          </w:p>
        </w:tc>
      </w:tr>
      <w:tr w:rsidR="00702919" w:rsidRPr="00AD1496" w14:paraId="0F4F1682" w14:textId="77777777" w:rsidTr="00702919">
        <w:tc>
          <w:tcPr>
            <w:tcW w:w="1368" w:type="dxa"/>
          </w:tcPr>
          <w:p w14:paraId="7ACFD634"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MoG</w:t>
            </w:r>
          </w:p>
        </w:tc>
        <w:tc>
          <w:tcPr>
            <w:tcW w:w="7702" w:type="dxa"/>
          </w:tcPr>
          <w:p w14:paraId="125984FA"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Machinery of Government</w:t>
            </w:r>
          </w:p>
        </w:tc>
      </w:tr>
      <w:tr w:rsidR="00702919" w:rsidRPr="00AD1496" w14:paraId="24079E00" w14:textId="77777777" w:rsidTr="00702919">
        <w:tc>
          <w:tcPr>
            <w:tcW w:w="1368" w:type="dxa"/>
          </w:tcPr>
          <w:p w14:paraId="681F28BB"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NPA</w:t>
            </w:r>
          </w:p>
        </w:tc>
        <w:tc>
          <w:tcPr>
            <w:tcW w:w="7702" w:type="dxa"/>
          </w:tcPr>
          <w:p w14:paraId="0E6A6DEC"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National Partnership Agreement</w:t>
            </w:r>
          </w:p>
        </w:tc>
      </w:tr>
      <w:tr w:rsidR="00702919" w:rsidRPr="00AD1496" w14:paraId="4038AD9B" w14:textId="77777777" w:rsidTr="00702919">
        <w:tc>
          <w:tcPr>
            <w:tcW w:w="1368" w:type="dxa"/>
          </w:tcPr>
          <w:p w14:paraId="5345205E"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NWC</w:t>
            </w:r>
          </w:p>
        </w:tc>
        <w:tc>
          <w:tcPr>
            <w:tcW w:w="7702" w:type="dxa"/>
          </w:tcPr>
          <w:p w14:paraId="1DF7A319"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National Water Commission</w:t>
            </w:r>
          </w:p>
        </w:tc>
      </w:tr>
      <w:tr w:rsidR="00702919" w:rsidRPr="00AD1496" w14:paraId="421A0F57" w14:textId="77777777" w:rsidTr="00702919">
        <w:tc>
          <w:tcPr>
            <w:tcW w:w="1368" w:type="dxa"/>
          </w:tcPr>
          <w:p w14:paraId="270B9740" w14:textId="463E11A1"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PC</w:t>
            </w:r>
          </w:p>
        </w:tc>
        <w:tc>
          <w:tcPr>
            <w:tcW w:w="7702" w:type="dxa"/>
          </w:tcPr>
          <w:p w14:paraId="221CB35F" w14:textId="56371BA3"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Productivity Commission</w:t>
            </w:r>
          </w:p>
        </w:tc>
      </w:tr>
      <w:tr w:rsidR="00C26131" w:rsidRPr="00AD1496" w14:paraId="371D85EE" w14:textId="77777777" w:rsidTr="00702919">
        <w:tc>
          <w:tcPr>
            <w:tcW w:w="1368" w:type="dxa"/>
          </w:tcPr>
          <w:p w14:paraId="60E6B5F1" w14:textId="3AE3DBE8" w:rsidR="00C26131" w:rsidRPr="00AD1496" w:rsidRDefault="00C26131" w:rsidP="00DF73E9">
            <w:pPr>
              <w:spacing w:after="120" w:line="240" w:lineRule="auto"/>
              <w:rPr>
                <w:rFonts w:asciiTheme="majorHAnsi" w:hAnsiTheme="majorHAnsi" w:cstheme="majorHAnsi"/>
              </w:rPr>
            </w:pPr>
            <w:r w:rsidRPr="00AD1496">
              <w:rPr>
                <w:rFonts w:asciiTheme="majorHAnsi" w:hAnsiTheme="majorHAnsi" w:cstheme="majorHAnsi"/>
              </w:rPr>
              <w:t>PM&amp;C</w:t>
            </w:r>
          </w:p>
        </w:tc>
        <w:tc>
          <w:tcPr>
            <w:tcW w:w="7702" w:type="dxa"/>
          </w:tcPr>
          <w:p w14:paraId="0DDECAFA" w14:textId="1EFF0163" w:rsidR="00C26131" w:rsidRPr="00AD1496" w:rsidRDefault="00C26131" w:rsidP="00DF73E9">
            <w:pPr>
              <w:spacing w:after="120" w:line="240" w:lineRule="auto"/>
              <w:rPr>
                <w:rFonts w:asciiTheme="majorHAnsi" w:hAnsiTheme="majorHAnsi" w:cstheme="majorHAnsi"/>
              </w:rPr>
            </w:pPr>
            <w:r w:rsidRPr="00AD1496">
              <w:rPr>
                <w:rFonts w:asciiTheme="majorHAnsi" w:hAnsiTheme="majorHAnsi" w:cstheme="majorHAnsi"/>
              </w:rPr>
              <w:t>Department of Prime Minister and Cabinet</w:t>
            </w:r>
          </w:p>
        </w:tc>
      </w:tr>
      <w:tr w:rsidR="00702919" w:rsidRPr="00AD1496" w14:paraId="467E84F3" w14:textId="77777777" w:rsidTr="00702919">
        <w:tc>
          <w:tcPr>
            <w:tcW w:w="1368" w:type="dxa"/>
          </w:tcPr>
          <w:p w14:paraId="7CCB668D"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SDL</w:t>
            </w:r>
          </w:p>
        </w:tc>
        <w:tc>
          <w:tcPr>
            <w:tcW w:w="7702" w:type="dxa"/>
          </w:tcPr>
          <w:p w14:paraId="222A2948"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Sustainable Diversion Limit</w:t>
            </w:r>
          </w:p>
        </w:tc>
      </w:tr>
      <w:tr w:rsidR="00A44AE8" w:rsidRPr="00AD1496" w14:paraId="3DC135B5" w14:textId="77777777" w:rsidTr="00702919">
        <w:tc>
          <w:tcPr>
            <w:tcW w:w="1368" w:type="dxa"/>
          </w:tcPr>
          <w:p w14:paraId="7EBF374A" w14:textId="77777777" w:rsidR="00A44AE8" w:rsidRPr="00AD1496" w:rsidRDefault="00A44AE8" w:rsidP="00DF73E9">
            <w:pPr>
              <w:spacing w:after="120" w:line="240" w:lineRule="auto"/>
              <w:rPr>
                <w:rFonts w:asciiTheme="majorHAnsi" w:hAnsiTheme="majorHAnsi" w:cstheme="majorHAnsi"/>
              </w:rPr>
            </w:pPr>
            <w:r w:rsidRPr="00AD1496">
              <w:rPr>
                <w:rFonts w:asciiTheme="majorHAnsi" w:hAnsiTheme="majorHAnsi" w:cstheme="majorHAnsi"/>
              </w:rPr>
              <w:t>SOA</w:t>
            </w:r>
          </w:p>
        </w:tc>
        <w:tc>
          <w:tcPr>
            <w:tcW w:w="7702" w:type="dxa"/>
          </w:tcPr>
          <w:p w14:paraId="08B909FF" w14:textId="77777777" w:rsidR="00A44AE8" w:rsidRPr="00AD1496" w:rsidRDefault="00A44AE8" w:rsidP="00DF73E9">
            <w:pPr>
              <w:spacing w:after="120" w:line="240" w:lineRule="auto"/>
              <w:rPr>
                <w:rFonts w:asciiTheme="majorHAnsi" w:hAnsiTheme="majorHAnsi" w:cstheme="majorHAnsi"/>
              </w:rPr>
            </w:pPr>
            <w:r w:rsidRPr="00AD1496">
              <w:rPr>
                <w:rFonts w:asciiTheme="majorHAnsi" w:hAnsiTheme="majorHAnsi" w:cstheme="majorHAnsi"/>
              </w:rPr>
              <w:t>Statement of Assurance</w:t>
            </w:r>
          </w:p>
        </w:tc>
      </w:tr>
      <w:tr w:rsidR="00702919" w:rsidRPr="00AD1496" w14:paraId="4AE46102" w14:textId="77777777" w:rsidTr="00702919">
        <w:tc>
          <w:tcPr>
            <w:tcW w:w="1368" w:type="dxa"/>
          </w:tcPr>
          <w:p w14:paraId="383631D4"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lastRenderedPageBreak/>
              <w:t>State/s</w:t>
            </w:r>
          </w:p>
        </w:tc>
        <w:tc>
          <w:tcPr>
            <w:tcW w:w="7702" w:type="dxa"/>
          </w:tcPr>
          <w:p w14:paraId="12225A06" w14:textId="5FA0119B"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 xml:space="preserve">Basin </w:t>
            </w:r>
            <w:r w:rsidR="00BD7EFB" w:rsidRPr="00AD1496">
              <w:rPr>
                <w:rFonts w:asciiTheme="majorHAnsi" w:hAnsiTheme="majorHAnsi" w:cstheme="majorHAnsi"/>
              </w:rPr>
              <w:t>s</w:t>
            </w:r>
            <w:r w:rsidRPr="00AD1496">
              <w:rPr>
                <w:rFonts w:asciiTheme="majorHAnsi" w:hAnsiTheme="majorHAnsi" w:cstheme="majorHAnsi"/>
              </w:rPr>
              <w:t>tate/s</w:t>
            </w:r>
            <w:r w:rsidR="00CF3A71" w:rsidRPr="00AD1496">
              <w:rPr>
                <w:rFonts w:asciiTheme="majorHAnsi" w:hAnsiTheme="majorHAnsi" w:cstheme="majorHAnsi"/>
              </w:rPr>
              <w:t xml:space="preserve"> and/or territory</w:t>
            </w:r>
          </w:p>
        </w:tc>
      </w:tr>
      <w:tr w:rsidR="00702919" w:rsidRPr="00AD1496" w14:paraId="0F2B3FAC" w14:textId="77777777" w:rsidTr="00702919">
        <w:tc>
          <w:tcPr>
            <w:tcW w:w="1368" w:type="dxa"/>
          </w:tcPr>
          <w:p w14:paraId="366A78D9"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WAMP</w:t>
            </w:r>
          </w:p>
        </w:tc>
        <w:tc>
          <w:tcPr>
            <w:tcW w:w="7702" w:type="dxa"/>
          </w:tcPr>
          <w:p w14:paraId="2DAADE9F"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Water Allocation and Management Plan</w:t>
            </w:r>
          </w:p>
        </w:tc>
      </w:tr>
      <w:tr w:rsidR="00702919" w:rsidRPr="00AD1496" w14:paraId="2DF8D7AC" w14:textId="77777777" w:rsidTr="00702919">
        <w:tc>
          <w:tcPr>
            <w:tcW w:w="1368" w:type="dxa"/>
          </w:tcPr>
          <w:p w14:paraId="09366F06"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WRP</w:t>
            </w:r>
          </w:p>
        </w:tc>
        <w:tc>
          <w:tcPr>
            <w:tcW w:w="7702" w:type="dxa"/>
          </w:tcPr>
          <w:p w14:paraId="084DDBE0"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Water Resource Plan</w:t>
            </w:r>
          </w:p>
        </w:tc>
      </w:tr>
      <w:tr w:rsidR="00702919" w:rsidRPr="00AD1496" w14:paraId="1E6DA934" w14:textId="77777777" w:rsidTr="00702919">
        <w:tc>
          <w:tcPr>
            <w:tcW w:w="1368" w:type="dxa"/>
          </w:tcPr>
          <w:p w14:paraId="3E76BD46" w14:textId="77777777" w:rsidR="00702919" w:rsidRPr="00AD1496" w:rsidRDefault="00702919" w:rsidP="00DF73E9">
            <w:pPr>
              <w:spacing w:after="120" w:line="240" w:lineRule="auto"/>
              <w:rPr>
                <w:rFonts w:asciiTheme="majorHAnsi" w:hAnsiTheme="majorHAnsi" w:cstheme="majorHAnsi"/>
              </w:rPr>
            </w:pPr>
            <w:r w:rsidRPr="00AD1496">
              <w:rPr>
                <w:rFonts w:asciiTheme="majorHAnsi" w:hAnsiTheme="majorHAnsi" w:cstheme="majorHAnsi"/>
              </w:rPr>
              <w:t>WSP</w:t>
            </w:r>
          </w:p>
        </w:tc>
        <w:tc>
          <w:tcPr>
            <w:tcW w:w="7702" w:type="dxa"/>
          </w:tcPr>
          <w:p w14:paraId="6C47ED76" w14:textId="77777777" w:rsidR="00702919" w:rsidRPr="00AD1496" w:rsidRDefault="00702919" w:rsidP="00DF73E9">
            <w:pPr>
              <w:spacing w:after="120"/>
              <w:rPr>
                <w:rFonts w:asciiTheme="majorHAnsi" w:hAnsiTheme="majorHAnsi" w:cstheme="majorHAnsi"/>
              </w:rPr>
            </w:pPr>
            <w:r w:rsidRPr="00AD1496">
              <w:rPr>
                <w:rFonts w:asciiTheme="majorHAnsi" w:hAnsiTheme="majorHAnsi" w:cstheme="majorHAnsi"/>
              </w:rPr>
              <w:t>Water Sharing Plan</w:t>
            </w:r>
          </w:p>
        </w:tc>
      </w:tr>
    </w:tbl>
    <w:p w14:paraId="14C4433D" w14:textId="77777777" w:rsidR="009E264A" w:rsidRPr="00AD1496" w:rsidRDefault="009E264A" w:rsidP="007A065E">
      <w:pPr>
        <w:pStyle w:val="GeneralHeading"/>
        <w:rPr>
          <w:rFonts w:asciiTheme="majorHAnsi" w:hAnsiTheme="majorHAnsi" w:cstheme="majorHAnsi"/>
        </w:rPr>
      </w:pPr>
      <w:bookmarkStart w:id="1" w:name="_Toc33700610"/>
      <w:r w:rsidRPr="00AD1496">
        <w:rPr>
          <w:rFonts w:asciiTheme="majorHAnsi" w:hAnsiTheme="majorHAnsi" w:cstheme="majorHAnsi"/>
        </w:rPr>
        <w:lastRenderedPageBreak/>
        <w:t>Executive summary</w:t>
      </w:r>
      <w:bookmarkEnd w:id="1"/>
    </w:p>
    <w:p w14:paraId="48543F92" w14:textId="77777777" w:rsidR="00702919" w:rsidRPr="00AD1496" w:rsidRDefault="00702919" w:rsidP="00691206">
      <w:pPr>
        <w:pStyle w:val="ExecSummaryH2"/>
        <w:rPr>
          <w:rFonts w:asciiTheme="majorHAnsi" w:hAnsiTheme="majorHAnsi" w:cstheme="majorHAnsi"/>
        </w:rPr>
      </w:pPr>
      <w:bookmarkStart w:id="2" w:name="_Toc33700611"/>
      <w:r w:rsidRPr="00AD1496">
        <w:rPr>
          <w:rFonts w:asciiTheme="majorHAnsi" w:hAnsiTheme="majorHAnsi" w:cstheme="majorHAnsi"/>
        </w:rPr>
        <w:t>Project</w:t>
      </w:r>
      <w:bookmarkEnd w:id="2"/>
    </w:p>
    <w:p w14:paraId="631797A8" w14:textId="1AD05C0D" w:rsidR="00702919" w:rsidRPr="00AD1496" w:rsidRDefault="00702919" w:rsidP="00702919">
      <w:pPr>
        <w:rPr>
          <w:rFonts w:asciiTheme="majorHAnsi" w:hAnsiTheme="majorHAnsi" w:cstheme="majorHAnsi"/>
        </w:rPr>
      </w:pPr>
      <w:r w:rsidRPr="00AD1496">
        <w:rPr>
          <w:rFonts w:asciiTheme="majorHAnsi" w:hAnsiTheme="majorHAnsi" w:cstheme="majorHAnsi"/>
        </w:rPr>
        <w:t xml:space="preserve">ARTD Consultants was engaged by the Department of Agriculture (the Department) to undertake the final review of the </w:t>
      </w:r>
      <w:r w:rsidRPr="00AD1496">
        <w:rPr>
          <w:rFonts w:asciiTheme="majorHAnsi" w:hAnsiTheme="majorHAnsi" w:cstheme="majorHAnsi"/>
          <w:i/>
        </w:rPr>
        <w:t>National Partnership Agreement on Implementing Water Reform in the Murray-Darling Basin</w:t>
      </w:r>
      <w:r w:rsidRPr="00AD1496">
        <w:rPr>
          <w:rFonts w:asciiTheme="majorHAnsi" w:hAnsiTheme="majorHAnsi" w:cstheme="majorHAnsi"/>
        </w:rPr>
        <w:t xml:space="preserve"> (the NPA).</w:t>
      </w:r>
    </w:p>
    <w:p w14:paraId="1B21FD26" w14:textId="77777777" w:rsidR="00702919" w:rsidRPr="00AD1496" w:rsidRDefault="00702919" w:rsidP="00702919">
      <w:pPr>
        <w:rPr>
          <w:rFonts w:asciiTheme="majorHAnsi" w:hAnsiTheme="majorHAnsi" w:cstheme="majorHAnsi"/>
        </w:rPr>
      </w:pPr>
      <w:r w:rsidRPr="00AD1496">
        <w:rPr>
          <w:rFonts w:asciiTheme="majorHAnsi" w:hAnsiTheme="majorHAnsi" w:cstheme="majorHAnsi"/>
        </w:rPr>
        <w:t>The purpose of the NPA is to ensur</w:t>
      </w:r>
      <w:r w:rsidR="00CD1F84" w:rsidRPr="00AD1496">
        <w:rPr>
          <w:rFonts w:asciiTheme="majorHAnsi" w:hAnsiTheme="majorHAnsi" w:cstheme="majorHAnsi"/>
        </w:rPr>
        <w:t xml:space="preserve">e </w:t>
      </w:r>
      <w:r w:rsidRPr="00AD1496">
        <w:rPr>
          <w:rFonts w:asciiTheme="majorHAnsi" w:hAnsiTheme="majorHAnsi" w:cstheme="majorHAnsi"/>
        </w:rPr>
        <w:t xml:space="preserve">that Murray-Darling Basin </w:t>
      </w:r>
      <w:r w:rsidR="00134461" w:rsidRPr="00AD1496">
        <w:rPr>
          <w:rFonts w:asciiTheme="majorHAnsi" w:hAnsiTheme="majorHAnsi" w:cstheme="majorHAnsi"/>
        </w:rPr>
        <w:t xml:space="preserve">(MDB) </w:t>
      </w:r>
      <w:r w:rsidRPr="00AD1496">
        <w:rPr>
          <w:rFonts w:asciiTheme="majorHAnsi" w:hAnsiTheme="majorHAnsi" w:cstheme="majorHAnsi"/>
        </w:rPr>
        <w:t>water reforms, including the Murray-Darling Basin Plan</w:t>
      </w:r>
      <w:r w:rsidR="00B73DCC" w:rsidRPr="00AD1496">
        <w:rPr>
          <w:rFonts w:asciiTheme="majorHAnsi" w:hAnsiTheme="majorHAnsi" w:cstheme="majorHAnsi"/>
        </w:rPr>
        <w:t xml:space="preserve"> (Basin Plan)</w:t>
      </w:r>
      <w:r w:rsidRPr="00AD1496">
        <w:rPr>
          <w:rFonts w:asciiTheme="majorHAnsi" w:hAnsiTheme="majorHAnsi" w:cstheme="majorHAnsi"/>
        </w:rPr>
        <w:t>, are implemented in the national interest of a healthy working river system, strong communities, and sustainable food and fibre production, while providing certainty for affected communities and water users.</w:t>
      </w:r>
    </w:p>
    <w:p w14:paraId="01F94A9D" w14:textId="77777777" w:rsidR="00702919" w:rsidRPr="00AD1496" w:rsidRDefault="00702919" w:rsidP="00702919">
      <w:pPr>
        <w:rPr>
          <w:rFonts w:asciiTheme="majorHAnsi" w:hAnsiTheme="majorHAnsi" w:cstheme="majorHAnsi"/>
        </w:rPr>
      </w:pPr>
      <w:r w:rsidRPr="00AD1496">
        <w:rPr>
          <w:rFonts w:asciiTheme="majorHAnsi" w:hAnsiTheme="majorHAnsi" w:cstheme="majorHAnsi"/>
        </w:rPr>
        <w:t xml:space="preserve">Clause 34 of the NPA requires that it be reviewed with regard to progress made by the Parties in achieving the agreed outcomes at July 2016 and again 12 months before </w:t>
      </w:r>
      <w:r w:rsidRPr="00AD1496">
        <w:rPr>
          <w:rFonts w:asciiTheme="majorHAnsi" w:hAnsiTheme="majorHAnsi" w:cstheme="majorHAnsi"/>
        </w:rPr>
        <w:lastRenderedPageBreak/>
        <w:t>the end of the NPA. Due to that timing requirement, this final review does not include the final assessment period of 2018-19.</w:t>
      </w:r>
    </w:p>
    <w:p w14:paraId="53B0182A" w14:textId="77777777" w:rsidR="00702919" w:rsidRPr="00AD1496" w:rsidRDefault="00702919" w:rsidP="00691206">
      <w:pPr>
        <w:pStyle w:val="ExecSummaryH2"/>
        <w:rPr>
          <w:rFonts w:asciiTheme="majorHAnsi" w:hAnsiTheme="majorHAnsi" w:cstheme="majorHAnsi"/>
        </w:rPr>
      </w:pPr>
      <w:bookmarkStart w:id="3" w:name="_3znysh7" w:colFirst="0" w:colLast="0"/>
      <w:bookmarkStart w:id="4" w:name="_Toc33700612"/>
      <w:bookmarkEnd w:id="3"/>
      <w:r w:rsidRPr="00AD1496">
        <w:rPr>
          <w:rFonts w:asciiTheme="majorHAnsi" w:hAnsiTheme="majorHAnsi" w:cstheme="majorHAnsi"/>
        </w:rPr>
        <w:t>Method</w:t>
      </w:r>
      <w:bookmarkEnd w:id="4"/>
    </w:p>
    <w:p w14:paraId="259BE6C4" w14:textId="0CC297A1" w:rsidR="00702919" w:rsidRPr="00AD1496" w:rsidRDefault="00702919" w:rsidP="00702919">
      <w:pPr>
        <w:rPr>
          <w:rFonts w:asciiTheme="majorHAnsi" w:hAnsiTheme="majorHAnsi" w:cstheme="majorHAnsi"/>
        </w:rPr>
      </w:pPr>
      <w:bookmarkStart w:id="5" w:name="_orlj8vxfkv6q" w:colFirst="0" w:colLast="0"/>
      <w:bookmarkEnd w:id="5"/>
      <w:r w:rsidRPr="00AD1496">
        <w:rPr>
          <w:rFonts w:asciiTheme="majorHAnsi" w:hAnsiTheme="majorHAnsi" w:cstheme="majorHAnsi"/>
        </w:rPr>
        <w:t xml:space="preserve">We reviewed the NPA in three stages—project scoping and planning; data collection and analysis; and reporting. The project inception meeting and background briefing with the Department was held on 9 May 2019, with interviews taking place from 4 June to 28 June. We interviewed representatives from all Basin States, as well as </w:t>
      </w:r>
      <w:r w:rsidR="00080030" w:rsidRPr="00AD1496">
        <w:rPr>
          <w:rFonts w:asciiTheme="majorHAnsi" w:hAnsiTheme="majorHAnsi" w:cstheme="majorHAnsi"/>
        </w:rPr>
        <w:t xml:space="preserve">the Department of </w:t>
      </w:r>
      <w:r w:rsidR="00B73DCC" w:rsidRPr="00AD1496">
        <w:rPr>
          <w:rFonts w:asciiTheme="majorHAnsi" w:hAnsiTheme="majorHAnsi" w:cstheme="majorHAnsi"/>
        </w:rPr>
        <w:t>Prime Minister and Cabinet (</w:t>
      </w:r>
      <w:r w:rsidRPr="00AD1496">
        <w:rPr>
          <w:rFonts w:asciiTheme="majorHAnsi" w:hAnsiTheme="majorHAnsi" w:cstheme="majorHAnsi"/>
        </w:rPr>
        <w:t>PM&amp;C</w:t>
      </w:r>
      <w:r w:rsidR="00B73DCC" w:rsidRPr="00AD1496">
        <w:rPr>
          <w:rFonts w:asciiTheme="majorHAnsi" w:hAnsiTheme="majorHAnsi" w:cstheme="majorHAnsi"/>
        </w:rPr>
        <w:t>)</w:t>
      </w:r>
      <w:r w:rsidRPr="00AD1496">
        <w:rPr>
          <w:rFonts w:asciiTheme="majorHAnsi" w:hAnsiTheme="majorHAnsi" w:cstheme="majorHAnsi"/>
        </w:rPr>
        <w:t xml:space="preserve">, </w:t>
      </w:r>
      <w:r w:rsidR="00080030" w:rsidRPr="00AD1496">
        <w:rPr>
          <w:rFonts w:asciiTheme="majorHAnsi" w:hAnsiTheme="majorHAnsi" w:cstheme="majorHAnsi"/>
        </w:rPr>
        <w:t xml:space="preserve">the </w:t>
      </w:r>
      <w:r w:rsidR="00B73DCC" w:rsidRPr="00AD1496">
        <w:rPr>
          <w:rFonts w:asciiTheme="majorHAnsi" w:hAnsiTheme="majorHAnsi" w:cstheme="majorHAnsi"/>
        </w:rPr>
        <w:t>Commonwealth Environmental Water Office (</w:t>
      </w:r>
      <w:r w:rsidRPr="00AD1496">
        <w:rPr>
          <w:rFonts w:asciiTheme="majorHAnsi" w:hAnsiTheme="majorHAnsi" w:cstheme="majorHAnsi"/>
        </w:rPr>
        <w:t>CEWO</w:t>
      </w:r>
      <w:r w:rsidR="00B73DCC" w:rsidRPr="00AD1496">
        <w:rPr>
          <w:rFonts w:asciiTheme="majorHAnsi" w:hAnsiTheme="majorHAnsi" w:cstheme="majorHAnsi"/>
        </w:rPr>
        <w:t>)</w:t>
      </w:r>
      <w:r w:rsidRPr="00AD1496">
        <w:rPr>
          <w:rFonts w:asciiTheme="majorHAnsi" w:hAnsiTheme="majorHAnsi" w:cstheme="majorHAnsi"/>
        </w:rPr>
        <w:t xml:space="preserve">, </w:t>
      </w:r>
      <w:r w:rsidR="00080030" w:rsidRPr="00AD1496">
        <w:rPr>
          <w:rFonts w:asciiTheme="majorHAnsi" w:hAnsiTheme="majorHAnsi" w:cstheme="majorHAnsi"/>
        </w:rPr>
        <w:t xml:space="preserve">the </w:t>
      </w:r>
      <w:r w:rsidR="00B73DCC" w:rsidRPr="00AD1496">
        <w:rPr>
          <w:rFonts w:asciiTheme="majorHAnsi" w:hAnsiTheme="majorHAnsi" w:cstheme="majorHAnsi"/>
        </w:rPr>
        <w:t>Murray-Darling Basin Authority (</w:t>
      </w:r>
      <w:r w:rsidRPr="00AD1496">
        <w:rPr>
          <w:rFonts w:asciiTheme="majorHAnsi" w:hAnsiTheme="majorHAnsi" w:cstheme="majorHAnsi"/>
        </w:rPr>
        <w:t>MDBA</w:t>
      </w:r>
      <w:r w:rsidR="00B73DCC" w:rsidRPr="00AD1496">
        <w:rPr>
          <w:rFonts w:asciiTheme="majorHAnsi" w:hAnsiTheme="majorHAnsi" w:cstheme="majorHAnsi"/>
        </w:rPr>
        <w:t>)</w:t>
      </w:r>
      <w:r w:rsidRPr="00AD1496">
        <w:rPr>
          <w:rFonts w:asciiTheme="majorHAnsi" w:hAnsiTheme="majorHAnsi" w:cstheme="majorHAnsi"/>
        </w:rPr>
        <w:t xml:space="preserve">, </w:t>
      </w:r>
      <w:r w:rsidR="00080030" w:rsidRPr="00AD1496">
        <w:rPr>
          <w:rFonts w:asciiTheme="majorHAnsi" w:hAnsiTheme="majorHAnsi" w:cstheme="majorHAnsi"/>
        </w:rPr>
        <w:t xml:space="preserve">The </w:t>
      </w:r>
      <w:r w:rsidRPr="00AD1496">
        <w:rPr>
          <w:rFonts w:asciiTheme="majorHAnsi" w:hAnsiTheme="majorHAnsi" w:cstheme="majorHAnsi"/>
        </w:rPr>
        <w:t>Treasury and the Department. The document review was undertaken concurrently with other tasks</w:t>
      </w:r>
      <w:r w:rsidR="00134461" w:rsidRPr="00AD1496">
        <w:rPr>
          <w:rFonts w:asciiTheme="majorHAnsi" w:hAnsiTheme="majorHAnsi" w:cstheme="majorHAnsi"/>
        </w:rPr>
        <w:t xml:space="preserve"> </w:t>
      </w:r>
      <w:r w:rsidRPr="00AD1496">
        <w:rPr>
          <w:rFonts w:asciiTheme="majorHAnsi" w:hAnsiTheme="majorHAnsi" w:cstheme="majorHAnsi"/>
        </w:rPr>
        <w:t>and examined 171 documents provided by the Department</w:t>
      </w:r>
      <w:r w:rsidR="00134461" w:rsidRPr="00AD1496">
        <w:rPr>
          <w:rFonts w:asciiTheme="majorHAnsi" w:hAnsiTheme="majorHAnsi" w:cstheme="majorHAnsi"/>
        </w:rPr>
        <w:t xml:space="preserve">, </w:t>
      </w:r>
      <w:r w:rsidRPr="00AD1496">
        <w:rPr>
          <w:rFonts w:asciiTheme="majorHAnsi" w:hAnsiTheme="majorHAnsi" w:cstheme="majorHAnsi"/>
        </w:rPr>
        <w:t>predominantly</w:t>
      </w:r>
      <w:r w:rsidR="00CD70B0" w:rsidRPr="00AD1496">
        <w:rPr>
          <w:rFonts w:asciiTheme="majorHAnsi" w:hAnsiTheme="majorHAnsi" w:cstheme="majorHAnsi"/>
        </w:rPr>
        <w:t xml:space="preserve"> relating to</w:t>
      </w:r>
      <w:r w:rsidRPr="00AD1496">
        <w:rPr>
          <w:rFonts w:asciiTheme="majorHAnsi" w:hAnsiTheme="majorHAnsi" w:cstheme="majorHAnsi"/>
        </w:rPr>
        <w:t xml:space="preserve"> annual assessments. The review process was guided by the Council on Federal </w:t>
      </w:r>
      <w:r w:rsidRPr="00AD1496">
        <w:rPr>
          <w:rFonts w:asciiTheme="majorHAnsi" w:hAnsiTheme="majorHAnsi" w:cstheme="majorHAnsi"/>
        </w:rPr>
        <w:lastRenderedPageBreak/>
        <w:t xml:space="preserve">Financial Relations’ (CFFR) </w:t>
      </w:r>
      <w:r w:rsidRPr="00AD1496">
        <w:rPr>
          <w:rFonts w:asciiTheme="majorHAnsi" w:hAnsiTheme="majorHAnsi" w:cstheme="majorHAnsi"/>
          <w:i/>
          <w:highlight w:val="white"/>
        </w:rPr>
        <w:t>A Short Guide to Reviewing National Partnerships</w:t>
      </w:r>
      <w:r w:rsidRPr="00AD1496">
        <w:rPr>
          <w:rFonts w:asciiTheme="majorHAnsi" w:hAnsiTheme="majorHAnsi" w:cstheme="majorHAnsi"/>
        </w:rPr>
        <w:t>.</w:t>
      </w:r>
    </w:p>
    <w:p w14:paraId="68F0C012" w14:textId="093C9954" w:rsidR="007F4EF5" w:rsidRPr="00AD1496" w:rsidRDefault="007F4EF5" w:rsidP="00691206">
      <w:pPr>
        <w:pStyle w:val="ExecSummaryH2"/>
        <w:rPr>
          <w:rFonts w:asciiTheme="majorHAnsi" w:hAnsiTheme="majorHAnsi" w:cstheme="majorHAnsi"/>
        </w:rPr>
      </w:pPr>
      <w:bookmarkStart w:id="6" w:name="_xjhnhwo634wl" w:colFirst="0" w:colLast="0"/>
      <w:bookmarkStart w:id="7" w:name="_Toc33700613"/>
      <w:bookmarkEnd w:id="6"/>
      <w:r w:rsidRPr="00AD1496">
        <w:rPr>
          <w:rFonts w:asciiTheme="majorHAnsi" w:hAnsiTheme="majorHAnsi" w:cstheme="majorHAnsi"/>
        </w:rPr>
        <w:t>Findings</w:t>
      </w:r>
      <w:bookmarkEnd w:id="7"/>
    </w:p>
    <w:p w14:paraId="4D872AE7" w14:textId="77777777" w:rsidR="00156B20" w:rsidRPr="00AD1496" w:rsidRDefault="00156B20" w:rsidP="00156B20">
      <w:pPr>
        <w:pStyle w:val="ExecSummaryH3"/>
        <w:rPr>
          <w:rFonts w:asciiTheme="majorHAnsi" w:hAnsiTheme="majorHAnsi" w:cstheme="majorHAnsi"/>
        </w:rPr>
      </w:pPr>
      <w:r w:rsidRPr="00AD1496">
        <w:rPr>
          <w:rFonts w:asciiTheme="majorHAnsi" w:hAnsiTheme="majorHAnsi" w:cstheme="majorHAnsi"/>
        </w:rPr>
        <w:t>Effectiveness</w:t>
      </w:r>
    </w:p>
    <w:p w14:paraId="5585D1BC" w14:textId="7D7CA06C" w:rsidR="00156B20" w:rsidRPr="00AD1496" w:rsidRDefault="00156B20" w:rsidP="00156B20">
      <w:pPr>
        <w:rPr>
          <w:rFonts w:asciiTheme="majorHAnsi" w:hAnsiTheme="majorHAnsi" w:cstheme="majorHAnsi"/>
          <w:lang w:eastAsia="en-AU"/>
        </w:rPr>
      </w:pPr>
      <w:r w:rsidRPr="00AD1496">
        <w:rPr>
          <w:rFonts w:asciiTheme="majorHAnsi" w:hAnsiTheme="majorHAnsi" w:cstheme="majorHAnsi"/>
          <w:lang w:eastAsia="en-AU"/>
        </w:rPr>
        <w:t xml:space="preserve">The NPA has </w:t>
      </w:r>
      <w:r w:rsidR="00AA7485" w:rsidRPr="00AD1496">
        <w:rPr>
          <w:rFonts w:asciiTheme="majorHAnsi" w:hAnsiTheme="majorHAnsi" w:cstheme="majorHAnsi"/>
          <w:lang w:eastAsia="en-AU"/>
        </w:rPr>
        <w:t>helped States implement the MDB</w:t>
      </w:r>
      <w:r w:rsidRPr="00AD1496">
        <w:rPr>
          <w:rFonts w:asciiTheme="majorHAnsi" w:hAnsiTheme="majorHAnsi" w:cstheme="majorHAnsi"/>
          <w:lang w:eastAsia="en-AU"/>
        </w:rPr>
        <w:t xml:space="preserve"> water reforms. While States</w:t>
      </w:r>
      <w:r w:rsidR="00901671" w:rsidRPr="00AD1496">
        <w:rPr>
          <w:rFonts w:asciiTheme="majorHAnsi" w:hAnsiTheme="majorHAnsi" w:cstheme="majorHAnsi"/>
          <w:lang w:eastAsia="en-AU"/>
        </w:rPr>
        <w:t xml:space="preserve"> </w:t>
      </w:r>
      <w:r w:rsidR="0043540B" w:rsidRPr="00AD1496">
        <w:rPr>
          <w:rFonts w:asciiTheme="majorHAnsi" w:hAnsiTheme="majorHAnsi" w:cstheme="majorHAnsi"/>
          <w:lang w:eastAsia="en-AU"/>
        </w:rPr>
        <w:t xml:space="preserve">have, </w:t>
      </w:r>
      <w:r w:rsidRPr="00AD1496">
        <w:rPr>
          <w:rFonts w:asciiTheme="majorHAnsi" w:hAnsiTheme="majorHAnsi" w:cstheme="majorHAnsi"/>
          <w:lang w:eastAsia="en-AU"/>
        </w:rPr>
        <w:t xml:space="preserve">under the </w:t>
      </w:r>
      <w:r w:rsidR="00621416" w:rsidRPr="00AD1496">
        <w:rPr>
          <w:rFonts w:asciiTheme="majorHAnsi" w:hAnsiTheme="majorHAnsi" w:cstheme="majorHAnsi"/>
          <w:lang w:eastAsia="en-AU"/>
        </w:rPr>
        <w:t xml:space="preserve">2013 </w:t>
      </w:r>
      <w:r w:rsidRPr="00AD1496">
        <w:rPr>
          <w:rFonts w:asciiTheme="majorHAnsi" w:hAnsiTheme="majorHAnsi" w:cstheme="majorHAnsi"/>
          <w:lang w:eastAsia="en-AU"/>
        </w:rPr>
        <w:t xml:space="preserve">Murray-Darling Basin </w:t>
      </w:r>
      <w:r w:rsidR="00621416" w:rsidRPr="00AD1496">
        <w:rPr>
          <w:rFonts w:asciiTheme="majorHAnsi" w:hAnsiTheme="majorHAnsi" w:cstheme="majorHAnsi"/>
          <w:lang w:eastAsia="en-AU"/>
        </w:rPr>
        <w:t xml:space="preserve">Intergovernmental </w:t>
      </w:r>
      <w:r w:rsidRPr="00AD1496">
        <w:rPr>
          <w:rFonts w:asciiTheme="majorHAnsi" w:hAnsiTheme="majorHAnsi" w:cstheme="majorHAnsi"/>
          <w:lang w:eastAsia="en-AU"/>
        </w:rPr>
        <w:t>Agreement</w:t>
      </w:r>
      <w:r w:rsidR="0043540B" w:rsidRPr="00AD1496">
        <w:rPr>
          <w:rFonts w:asciiTheme="majorHAnsi" w:hAnsiTheme="majorHAnsi" w:cstheme="majorHAnsi"/>
          <w:lang w:eastAsia="en-AU"/>
        </w:rPr>
        <w:t>,</w:t>
      </w:r>
      <w:r w:rsidRPr="00AD1496">
        <w:rPr>
          <w:rFonts w:asciiTheme="majorHAnsi" w:hAnsiTheme="majorHAnsi" w:cstheme="majorHAnsi"/>
          <w:lang w:eastAsia="en-AU"/>
        </w:rPr>
        <w:t xml:space="preserve"> </w:t>
      </w:r>
      <w:r w:rsidR="00137A93" w:rsidRPr="00AD1496">
        <w:rPr>
          <w:rFonts w:asciiTheme="majorHAnsi" w:hAnsiTheme="majorHAnsi" w:cstheme="majorHAnsi"/>
          <w:lang w:eastAsia="en-AU"/>
        </w:rPr>
        <w:t xml:space="preserve">agreed </w:t>
      </w:r>
      <w:r w:rsidRPr="00AD1496">
        <w:rPr>
          <w:rFonts w:asciiTheme="majorHAnsi" w:hAnsiTheme="majorHAnsi" w:cstheme="majorHAnsi"/>
          <w:lang w:eastAsia="en-AU"/>
        </w:rPr>
        <w:t>to make progress against the Basin Plan, the NPA facilitated this progress.</w:t>
      </w:r>
      <w:r w:rsidR="00AA7485" w:rsidRPr="00AD1496">
        <w:rPr>
          <w:rFonts w:asciiTheme="majorHAnsi" w:hAnsiTheme="majorHAnsi" w:cstheme="majorHAnsi"/>
          <w:lang w:eastAsia="en-AU"/>
        </w:rPr>
        <w:t xml:space="preserve"> </w:t>
      </w:r>
    </w:p>
    <w:p w14:paraId="4D7FC421" w14:textId="7F65B0A6" w:rsidR="006F2146" w:rsidRPr="00AD1496" w:rsidRDefault="006F2146" w:rsidP="00156B20">
      <w:pPr>
        <w:rPr>
          <w:rFonts w:asciiTheme="majorHAnsi" w:hAnsiTheme="majorHAnsi" w:cstheme="majorHAnsi"/>
          <w:lang w:eastAsia="en-AU"/>
        </w:rPr>
      </w:pPr>
      <w:r w:rsidRPr="00AD1496">
        <w:rPr>
          <w:rFonts w:asciiTheme="majorHAnsi" w:hAnsiTheme="majorHAnsi" w:cstheme="majorHAnsi"/>
          <w:lang w:eastAsia="en-AU"/>
        </w:rPr>
        <w:t xml:space="preserve">While most of the NPA reporting milestones were met over the period of the agreement, in recent years there has been a trend away from full completion of milestones towards partial completion. In part, this is due to States’ actual progress against the milestones becoming evident. </w:t>
      </w:r>
      <w:r w:rsidR="00AA7485" w:rsidRPr="00AD1496">
        <w:rPr>
          <w:rFonts w:asciiTheme="majorHAnsi" w:hAnsiTheme="majorHAnsi" w:cstheme="majorHAnsi"/>
          <w:lang w:eastAsia="en-AU"/>
        </w:rPr>
        <w:t>The Department consistently drew on advice from CEWO and MDBA in assessing progress toward the NPA milestones.</w:t>
      </w:r>
    </w:p>
    <w:p w14:paraId="07D61BC1" w14:textId="0DCAF995" w:rsidR="00181FD8" w:rsidRPr="00AD1496" w:rsidRDefault="00181FD8" w:rsidP="00181FD8">
      <w:pPr>
        <w:keepNext/>
        <w:rPr>
          <w:rFonts w:asciiTheme="majorHAnsi" w:hAnsiTheme="majorHAnsi" w:cstheme="majorHAnsi"/>
          <w:lang w:eastAsia="en-AU"/>
        </w:rPr>
      </w:pPr>
      <w:r w:rsidRPr="00AD1496">
        <w:rPr>
          <w:rFonts w:asciiTheme="majorHAnsi" w:hAnsiTheme="majorHAnsi" w:cstheme="majorHAnsi"/>
          <w:lang w:eastAsia="en-AU"/>
        </w:rPr>
        <w:lastRenderedPageBreak/>
        <w:t>The NPA’s effectiveness has been limited by its milestones being broadly defined and not allowing partial payments</w:t>
      </w:r>
      <w:r w:rsidR="0036749E">
        <w:rPr>
          <w:rFonts w:asciiTheme="majorHAnsi" w:hAnsiTheme="majorHAnsi" w:cstheme="majorHAnsi"/>
          <w:lang w:eastAsia="en-AU"/>
        </w:rPr>
        <w:t>;</w:t>
      </w:r>
      <w:r w:rsidR="00B94C16">
        <w:rPr>
          <w:rFonts w:asciiTheme="majorHAnsi" w:hAnsiTheme="majorHAnsi" w:cstheme="majorHAnsi"/>
          <w:lang w:eastAsia="en-AU"/>
        </w:rPr>
        <w:t xml:space="preserve"> however</w:t>
      </w:r>
      <w:r w:rsidR="0036749E">
        <w:rPr>
          <w:rFonts w:asciiTheme="majorHAnsi" w:hAnsiTheme="majorHAnsi" w:cstheme="majorHAnsi"/>
          <w:lang w:eastAsia="en-AU"/>
        </w:rPr>
        <w:t>,</w:t>
      </w:r>
      <w:r w:rsidR="00B94C16">
        <w:rPr>
          <w:rFonts w:asciiTheme="majorHAnsi" w:hAnsiTheme="majorHAnsi" w:cstheme="majorHAnsi"/>
          <w:lang w:eastAsia="en-AU"/>
        </w:rPr>
        <w:t xml:space="preserve"> t</w:t>
      </w:r>
      <w:r w:rsidR="00B94C16">
        <w:rPr>
          <w:lang w:eastAsia="en-AU"/>
        </w:rPr>
        <w:t xml:space="preserve">his design was intentional and a product of the NPA’s context. The milestones were broadly defined to enable States to sign the agreement due to </w:t>
      </w:r>
      <w:r w:rsidR="00B26061">
        <w:rPr>
          <w:lang w:eastAsia="en-AU"/>
        </w:rPr>
        <w:t>lack of clarity around</w:t>
      </w:r>
      <w:r w:rsidR="00B94C16">
        <w:rPr>
          <w:lang w:eastAsia="en-AU"/>
        </w:rPr>
        <w:t xml:space="preserve"> the </w:t>
      </w:r>
      <w:r w:rsidR="00B26061">
        <w:rPr>
          <w:lang w:eastAsia="en-AU"/>
        </w:rPr>
        <w:t>detailed</w:t>
      </w:r>
      <w:r w:rsidR="00B94C16">
        <w:rPr>
          <w:lang w:eastAsia="en-AU"/>
        </w:rPr>
        <w:t xml:space="preserve"> implementation of Basin Plan measures during the NPA’s design phase.</w:t>
      </w:r>
      <w:r w:rsidR="00B94C16">
        <w:rPr>
          <w:rFonts w:asciiTheme="majorHAnsi" w:hAnsiTheme="majorHAnsi" w:cstheme="majorHAnsi"/>
        </w:rPr>
        <w:t xml:space="preserve"> At the time the Commonwealth did not support the inclusion of partial payments to avoid the risk of States not fully implementing key aspects of water reform.</w:t>
      </w:r>
    </w:p>
    <w:p w14:paraId="4D33AD46" w14:textId="77777777" w:rsidR="00156B20" w:rsidRPr="00AD1496" w:rsidRDefault="00156B20" w:rsidP="00156B20">
      <w:pPr>
        <w:pStyle w:val="ExecSummaryH3"/>
        <w:rPr>
          <w:rFonts w:asciiTheme="majorHAnsi" w:hAnsiTheme="majorHAnsi" w:cstheme="majorHAnsi"/>
        </w:rPr>
      </w:pPr>
      <w:r w:rsidRPr="00AD1496">
        <w:rPr>
          <w:rFonts w:asciiTheme="majorHAnsi" w:hAnsiTheme="majorHAnsi" w:cstheme="majorHAnsi"/>
        </w:rPr>
        <w:t>Efficiency</w:t>
      </w:r>
    </w:p>
    <w:p w14:paraId="528B3A29" w14:textId="2D149479" w:rsidR="00156B20" w:rsidRPr="00AD1496" w:rsidRDefault="00156B20" w:rsidP="00156B20">
      <w:pPr>
        <w:rPr>
          <w:rFonts w:asciiTheme="majorHAnsi" w:hAnsiTheme="majorHAnsi" w:cstheme="majorHAnsi"/>
        </w:rPr>
      </w:pPr>
      <w:r w:rsidRPr="00AD1496">
        <w:rPr>
          <w:rFonts w:asciiTheme="majorHAnsi" w:hAnsiTheme="majorHAnsi" w:cstheme="majorHAnsi"/>
          <w:lang w:eastAsia="en-AU"/>
        </w:rPr>
        <w:t xml:space="preserve">All parties are carrying out their roles and responsibilities under the NPA, but there have been some delays in the execution of these over time. The quality, timeliness, accuracy and suitability of the assessment arrangements have all been strong and were strengthened by the mid-term review and other associated reviews, such as </w:t>
      </w:r>
      <w:r w:rsidRPr="00AD1496">
        <w:rPr>
          <w:rFonts w:asciiTheme="majorHAnsi" w:hAnsiTheme="majorHAnsi" w:cstheme="majorHAnsi"/>
        </w:rPr>
        <w:t xml:space="preserve">the </w:t>
      </w:r>
      <w:hyperlink r:id="rId15" w:history="1">
        <w:r w:rsidRPr="00AD1496">
          <w:rPr>
            <w:rStyle w:val="Hyperlink"/>
            <w:rFonts w:asciiTheme="majorHAnsi" w:hAnsiTheme="majorHAnsi" w:cstheme="majorHAnsi"/>
            <w:color w:val="auto"/>
          </w:rPr>
          <w:t xml:space="preserve">ANAO Assurance Review of NSW protection and use of environmental water </w:t>
        </w:r>
        <w:r w:rsidRPr="00AD1496">
          <w:rPr>
            <w:rStyle w:val="Hyperlink"/>
            <w:rFonts w:asciiTheme="majorHAnsi" w:hAnsiTheme="majorHAnsi" w:cstheme="majorHAnsi"/>
            <w:color w:val="auto"/>
          </w:rPr>
          <w:lastRenderedPageBreak/>
          <w:t>in the Murray-Darling Basin</w:t>
        </w:r>
      </w:hyperlink>
      <w:r w:rsidRPr="00AD1496">
        <w:rPr>
          <w:rFonts w:asciiTheme="majorHAnsi" w:hAnsiTheme="majorHAnsi" w:cstheme="majorHAnsi"/>
        </w:rPr>
        <w:t xml:space="preserve"> (2017), </w:t>
      </w:r>
      <w:hyperlink r:id="rId16" w:history="1">
        <w:r w:rsidRPr="00AD1496">
          <w:rPr>
            <w:rStyle w:val="Hyperlink"/>
            <w:rFonts w:asciiTheme="majorHAnsi" w:hAnsiTheme="majorHAnsi" w:cstheme="majorHAnsi"/>
            <w:color w:val="auto"/>
          </w:rPr>
          <w:t>ANAO performance audit of NPA monitoring and payment arrangements</w:t>
        </w:r>
      </w:hyperlink>
      <w:r w:rsidRPr="00AD1496">
        <w:rPr>
          <w:rFonts w:asciiTheme="majorHAnsi" w:hAnsiTheme="majorHAnsi" w:cstheme="majorHAnsi"/>
        </w:rPr>
        <w:t xml:space="preserve"> (2018), </w:t>
      </w:r>
      <w:hyperlink r:id="rId17" w:history="1">
        <w:r w:rsidRPr="00AD1496">
          <w:rPr>
            <w:rStyle w:val="Hyperlink"/>
            <w:rFonts w:asciiTheme="majorHAnsi" w:hAnsiTheme="majorHAnsi" w:cstheme="majorHAnsi"/>
            <w:color w:val="auto"/>
          </w:rPr>
          <w:t>PC Murray-Darling Basin Plan: Five-year assessment, Inquiry Report</w:t>
        </w:r>
      </w:hyperlink>
      <w:r w:rsidRPr="00AD1496">
        <w:rPr>
          <w:rFonts w:asciiTheme="majorHAnsi" w:hAnsiTheme="majorHAnsi" w:cstheme="majorHAnsi"/>
        </w:rPr>
        <w:t xml:space="preserve">, </w:t>
      </w:r>
      <w:hyperlink r:id="rId18" w:history="1">
        <w:r w:rsidRPr="00AD1496">
          <w:rPr>
            <w:rStyle w:val="Hyperlink"/>
            <w:rFonts w:asciiTheme="majorHAnsi" w:hAnsiTheme="majorHAnsi" w:cstheme="majorHAnsi"/>
            <w:color w:val="auto"/>
          </w:rPr>
          <w:t>Independent investigation into NSW water management and compliance</w:t>
        </w:r>
      </w:hyperlink>
      <w:r w:rsidRPr="00AD1496">
        <w:rPr>
          <w:rFonts w:asciiTheme="majorHAnsi" w:hAnsiTheme="majorHAnsi" w:cstheme="majorHAnsi"/>
        </w:rPr>
        <w:t xml:space="preserve"> (2017), </w:t>
      </w:r>
      <w:hyperlink r:id="rId19" w:history="1">
        <w:r w:rsidRPr="00AD1496">
          <w:rPr>
            <w:rStyle w:val="Hyperlink"/>
            <w:rFonts w:asciiTheme="majorHAnsi" w:hAnsiTheme="majorHAnsi" w:cstheme="majorHAnsi"/>
            <w:color w:val="auto"/>
          </w:rPr>
          <w:t>Murray-Darling Basin Water Compliance Review</w:t>
        </w:r>
      </w:hyperlink>
      <w:r w:rsidRPr="00AD1496">
        <w:rPr>
          <w:rFonts w:asciiTheme="majorHAnsi" w:hAnsiTheme="majorHAnsi" w:cstheme="majorHAnsi"/>
        </w:rPr>
        <w:t xml:space="preserve"> (2017) and </w:t>
      </w:r>
      <w:hyperlink r:id="rId20" w:history="1">
        <w:r w:rsidRPr="00AD1496">
          <w:rPr>
            <w:rStyle w:val="Hyperlink"/>
            <w:rFonts w:asciiTheme="majorHAnsi" w:hAnsiTheme="majorHAnsi" w:cstheme="majorHAnsi"/>
            <w:color w:val="auto"/>
          </w:rPr>
          <w:t>Murray-Darling Basin Water Compliance Compact</w:t>
        </w:r>
      </w:hyperlink>
      <w:r w:rsidRPr="00AD1496">
        <w:rPr>
          <w:rFonts w:asciiTheme="majorHAnsi" w:hAnsiTheme="majorHAnsi" w:cstheme="majorHAnsi"/>
        </w:rPr>
        <w:t xml:space="preserve"> (2018). </w:t>
      </w:r>
    </w:p>
    <w:p w14:paraId="424307AB" w14:textId="62957983" w:rsidR="00156B20" w:rsidRPr="00AD1496" w:rsidRDefault="00156B20" w:rsidP="00156B20">
      <w:pPr>
        <w:rPr>
          <w:rFonts w:asciiTheme="majorHAnsi" w:hAnsiTheme="majorHAnsi" w:cstheme="majorHAnsi"/>
        </w:rPr>
      </w:pPr>
      <w:r w:rsidRPr="00AD1496">
        <w:rPr>
          <w:rFonts w:asciiTheme="majorHAnsi" w:hAnsiTheme="majorHAnsi" w:cstheme="majorHAnsi"/>
        </w:rPr>
        <w:t>Heightened scrutiny following the mid-term review</w:t>
      </w:r>
      <w:r w:rsidR="008D73A2" w:rsidRPr="00AD1496">
        <w:rPr>
          <w:rFonts w:asciiTheme="majorHAnsi" w:hAnsiTheme="majorHAnsi" w:cstheme="majorHAnsi"/>
        </w:rPr>
        <w:t>,</w:t>
      </w:r>
      <w:r w:rsidRPr="00AD1496">
        <w:rPr>
          <w:rFonts w:asciiTheme="majorHAnsi" w:hAnsiTheme="majorHAnsi" w:cstheme="majorHAnsi"/>
        </w:rPr>
        <w:t xml:space="preserve"> Four Corners ‘Pumped’ report in 2017 </w:t>
      </w:r>
      <w:r w:rsidR="008D73A2" w:rsidRPr="00AD1496">
        <w:rPr>
          <w:rFonts w:asciiTheme="majorHAnsi" w:hAnsiTheme="majorHAnsi" w:cstheme="majorHAnsi"/>
        </w:rPr>
        <w:t xml:space="preserve">and subsequent inquiries </w:t>
      </w:r>
      <w:r w:rsidRPr="00AD1496">
        <w:rPr>
          <w:rFonts w:asciiTheme="majorHAnsi" w:hAnsiTheme="majorHAnsi" w:cstheme="majorHAnsi"/>
        </w:rPr>
        <w:t xml:space="preserve">led to delays in the assessment arrangements, but no payments were made outside of the reporting year. All annual assessments except one (NSW in 2016/17) have resulted in the release of States’ payments. The total of actual payments made to date (FY2018-19) is $141,181,819. </w:t>
      </w:r>
      <w:r w:rsidR="001D004B" w:rsidRPr="00AD1496">
        <w:rPr>
          <w:rFonts w:asciiTheme="majorHAnsi" w:hAnsiTheme="majorHAnsi" w:cstheme="majorHAnsi"/>
        </w:rPr>
        <w:t xml:space="preserve">If all States receive their 2019-20 payments, the </w:t>
      </w:r>
      <w:r w:rsidRPr="00AD1496">
        <w:rPr>
          <w:rFonts w:asciiTheme="majorHAnsi" w:hAnsiTheme="majorHAnsi" w:cstheme="majorHAnsi"/>
        </w:rPr>
        <w:t xml:space="preserve">total </w:t>
      </w:r>
      <w:r w:rsidR="001D004B" w:rsidRPr="00AD1496">
        <w:rPr>
          <w:rFonts w:asciiTheme="majorHAnsi" w:hAnsiTheme="majorHAnsi" w:cstheme="majorHAnsi"/>
        </w:rPr>
        <w:t xml:space="preserve">funding provided </w:t>
      </w:r>
      <w:r w:rsidRPr="00AD1496">
        <w:rPr>
          <w:rFonts w:asciiTheme="majorHAnsi" w:hAnsiTheme="majorHAnsi" w:cstheme="majorHAnsi"/>
        </w:rPr>
        <w:t xml:space="preserve">by the end of the FY2019-20 </w:t>
      </w:r>
      <w:r w:rsidR="001D004B" w:rsidRPr="00AD1496">
        <w:rPr>
          <w:rFonts w:asciiTheme="majorHAnsi" w:hAnsiTheme="majorHAnsi" w:cstheme="majorHAnsi"/>
        </w:rPr>
        <w:t xml:space="preserve">will be </w:t>
      </w:r>
      <w:r w:rsidRPr="00AD1496">
        <w:rPr>
          <w:rFonts w:asciiTheme="majorHAnsi" w:hAnsiTheme="majorHAnsi" w:cstheme="majorHAnsi"/>
        </w:rPr>
        <w:t>$</w:t>
      </w:r>
      <w:r w:rsidR="00466B56" w:rsidRPr="00AD1496">
        <w:rPr>
          <w:rFonts w:asciiTheme="majorHAnsi" w:hAnsiTheme="majorHAnsi" w:cstheme="majorHAnsi"/>
        </w:rPr>
        <w:t>161,181,819</w:t>
      </w:r>
      <w:r w:rsidRPr="00AD1496">
        <w:rPr>
          <w:rFonts w:asciiTheme="majorHAnsi" w:hAnsiTheme="majorHAnsi" w:cstheme="majorHAnsi"/>
        </w:rPr>
        <w:t>.</w:t>
      </w:r>
    </w:p>
    <w:p w14:paraId="1A3BE0A8" w14:textId="2A07F3DB" w:rsidR="006F2146" w:rsidRPr="00AD1496" w:rsidRDefault="00E1398B" w:rsidP="00156B20">
      <w:pPr>
        <w:rPr>
          <w:rFonts w:asciiTheme="majorHAnsi" w:hAnsiTheme="majorHAnsi" w:cstheme="majorHAnsi"/>
          <w:lang w:eastAsia="en-AU"/>
        </w:rPr>
      </w:pPr>
      <w:r w:rsidRPr="00AD1496">
        <w:rPr>
          <w:rFonts w:asciiTheme="majorHAnsi" w:hAnsiTheme="majorHAnsi" w:cstheme="majorHAnsi"/>
          <w:lang w:eastAsia="en-AU"/>
        </w:rPr>
        <w:t>I</w:t>
      </w:r>
      <w:r w:rsidR="006F2146" w:rsidRPr="00AD1496">
        <w:rPr>
          <w:rFonts w:asciiTheme="majorHAnsi" w:hAnsiTheme="majorHAnsi" w:cstheme="majorHAnsi"/>
          <w:lang w:eastAsia="en-AU"/>
        </w:rPr>
        <w:t>n hindsight, the NPA’s milestones and payment structure have been problematic. States report</w:t>
      </w:r>
      <w:r w:rsidR="008D73A2" w:rsidRPr="00AD1496">
        <w:rPr>
          <w:rFonts w:asciiTheme="majorHAnsi" w:hAnsiTheme="majorHAnsi" w:cstheme="majorHAnsi"/>
          <w:lang w:eastAsia="en-AU"/>
        </w:rPr>
        <w:t>ed</w:t>
      </w:r>
      <w:r w:rsidR="006F2146" w:rsidRPr="00AD1496">
        <w:rPr>
          <w:rFonts w:asciiTheme="majorHAnsi" w:hAnsiTheme="majorHAnsi" w:cstheme="majorHAnsi"/>
          <w:lang w:eastAsia="en-AU"/>
        </w:rPr>
        <w:t xml:space="preserve"> the milestones made it difficult to plan action against them</w:t>
      </w:r>
      <w:r w:rsidR="00913D8E">
        <w:rPr>
          <w:rFonts w:asciiTheme="majorHAnsi" w:hAnsiTheme="majorHAnsi" w:cstheme="majorHAnsi"/>
          <w:lang w:eastAsia="en-AU"/>
        </w:rPr>
        <w:t xml:space="preserve"> and f</w:t>
      </w:r>
      <w:r w:rsidR="006F2146" w:rsidRPr="00AD1496">
        <w:rPr>
          <w:rFonts w:asciiTheme="majorHAnsi" w:hAnsiTheme="majorHAnsi" w:cstheme="majorHAnsi"/>
          <w:lang w:eastAsia="en-AU"/>
        </w:rPr>
        <w:t xml:space="preserve">or the </w:t>
      </w:r>
      <w:r w:rsidR="006F2146" w:rsidRPr="00AD1496">
        <w:rPr>
          <w:rFonts w:asciiTheme="majorHAnsi" w:hAnsiTheme="majorHAnsi" w:cstheme="majorHAnsi"/>
          <w:lang w:eastAsia="en-AU"/>
        </w:rPr>
        <w:lastRenderedPageBreak/>
        <w:t xml:space="preserve">Commonwealth to make clear assessments of progress, while the ‘all or nothing’ payments have put significant pressure on the Commonwealth to pay States even when they have only made partial progress against milestones. </w:t>
      </w:r>
    </w:p>
    <w:p w14:paraId="2089FD9F" w14:textId="77777777" w:rsidR="00156B20" w:rsidRPr="00AD1496" w:rsidRDefault="00156B20" w:rsidP="00156B20">
      <w:pPr>
        <w:pStyle w:val="ExecSummaryH3"/>
        <w:rPr>
          <w:rFonts w:asciiTheme="majorHAnsi" w:hAnsiTheme="majorHAnsi" w:cstheme="majorHAnsi"/>
        </w:rPr>
      </w:pPr>
      <w:r w:rsidRPr="00AD1496">
        <w:rPr>
          <w:rFonts w:asciiTheme="majorHAnsi" w:hAnsiTheme="majorHAnsi" w:cstheme="majorHAnsi"/>
        </w:rPr>
        <w:t>Enhancements</w:t>
      </w:r>
    </w:p>
    <w:p w14:paraId="68D36FB6" w14:textId="2D328628" w:rsidR="00156B20" w:rsidRPr="00AD1496" w:rsidRDefault="009311A1" w:rsidP="00156B20">
      <w:pPr>
        <w:rPr>
          <w:rFonts w:asciiTheme="majorHAnsi" w:hAnsiTheme="majorHAnsi" w:cstheme="majorHAnsi"/>
          <w:sz w:val="20"/>
        </w:rPr>
      </w:pPr>
      <w:r w:rsidRPr="00AD1496">
        <w:rPr>
          <w:rFonts w:asciiTheme="majorHAnsi" w:hAnsiTheme="majorHAnsi" w:cstheme="majorHAnsi"/>
        </w:rPr>
        <w:t>T</w:t>
      </w:r>
      <w:r w:rsidR="00C77561" w:rsidRPr="00AD1496">
        <w:rPr>
          <w:rFonts w:asciiTheme="majorHAnsi" w:hAnsiTheme="majorHAnsi" w:cstheme="majorHAnsi"/>
        </w:rPr>
        <w:t xml:space="preserve">here are </w:t>
      </w:r>
      <w:r w:rsidR="00156B20" w:rsidRPr="00AD1496">
        <w:rPr>
          <w:rFonts w:asciiTheme="majorHAnsi" w:hAnsiTheme="majorHAnsi" w:cstheme="majorHAnsi"/>
        </w:rPr>
        <w:t>several opportunities for enhancing a future NPA. These include:</w:t>
      </w:r>
    </w:p>
    <w:p w14:paraId="7E6675A8" w14:textId="705731B5" w:rsidR="009311A1" w:rsidRPr="00AD1496" w:rsidRDefault="009311A1" w:rsidP="00F920C5">
      <w:pPr>
        <w:pStyle w:val="ListNumber"/>
        <w:rPr>
          <w:rFonts w:asciiTheme="majorHAnsi" w:hAnsiTheme="majorHAnsi" w:cstheme="majorHAnsi"/>
        </w:rPr>
      </w:pPr>
      <w:r w:rsidRPr="00AD1496">
        <w:rPr>
          <w:rFonts w:asciiTheme="majorHAnsi" w:hAnsiTheme="majorHAnsi" w:cstheme="majorHAnsi"/>
        </w:rPr>
        <w:t>Aligning a future NPA more closely with the strategic objectives of its associated policy</w:t>
      </w:r>
    </w:p>
    <w:p w14:paraId="127186BE" w14:textId="4BB5B277" w:rsidR="00156B20" w:rsidRPr="00AD1496" w:rsidRDefault="00156B20" w:rsidP="00F920C5">
      <w:pPr>
        <w:pStyle w:val="ListNumber"/>
        <w:rPr>
          <w:rFonts w:asciiTheme="majorHAnsi" w:hAnsiTheme="majorHAnsi" w:cstheme="majorHAnsi"/>
        </w:rPr>
      </w:pPr>
      <w:r w:rsidRPr="00AD1496">
        <w:rPr>
          <w:rFonts w:asciiTheme="majorHAnsi" w:hAnsiTheme="majorHAnsi" w:cstheme="majorHAnsi"/>
        </w:rPr>
        <w:t>Clearly defining all milestones</w:t>
      </w:r>
      <w:r w:rsidR="002C7099" w:rsidRPr="00AD1496">
        <w:rPr>
          <w:rFonts w:asciiTheme="majorHAnsi" w:hAnsiTheme="majorHAnsi" w:cstheme="majorHAnsi"/>
        </w:rPr>
        <w:t xml:space="preserve"> </w:t>
      </w:r>
      <w:r w:rsidR="00C52CDA" w:rsidRPr="00AD1496">
        <w:rPr>
          <w:rFonts w:asciiTheme="majorHAnsi" w:hAnsiTheme="majorHAnsi" w:cstheme="majorHAnsi"/>
        </w:rPr>
        <w:t xml:space="preserve">and KPIs </w:t>
      </w:r>
      <w:r w:rsidR="002C7099" w:rsidRPr="00AD1496">
        <w:rPr>
          <w:rFonts w:asciiTheme="majorHAnsi" w:hAnsiTheme="majorHAnsi" w:cstheme="majorHAnsi"/>
        </w:rPr>
        <w:t xml:space="preserve">to prescribe </w:t>
      </w:r>
      <w:r w:rsidR="00C52CDA" w:rsidRPr="00AD1496">
        <w:rPr>
          <w:rFonts w:asciiTheme="majorHAnsi" w:hAnsiTheme="majorHAnsi" w:cstheme="majorHAnsi"/>
        </w:rPr>
        <w:t>outputs and outcomes</w:t>
      </w:r>
      <w:r w:rsidR="00F6211B" w:rsidRPr="00AD1496">
        <w:rPr>
          <w:rFonts w:asciiTheme="majorHAnsi" w:hAnsiTheme="majorHAnsi" w:cstheme="majorHAnsi"/>
        </w:rPr>
        <w:t>.</w:t>
      </w:r>
    </w:p>
    <w:p w14:paraId="1D9E3E2D" w14:textId="4E51D345" w:rsidR="009311A1" w:rsidRPr="00AD1496" w:rsidRDefault="009311A1" w:rsidP="00F920C5">
      <w:pPr>
        <w:pStyle w:val="ListNumber"/>
        <w:rPr>
          <w:rFonts w:asciiTheme="majorHAnsi" w:hAnsiTheme="majorHAnsi" w:cstheme="majorHAnsi"/>
        </w:rPr>
      </w:pPr>
      <w:r w:rsidRPr="00AD1496">
        <w:rPr>
          <w:rFonts w:asciiTheme="majorHAnsi" w:hAnsiTheme="majorHAnsi" w:cstheme="majorHAnsi"/>
        </w:rPr>
        <w:t>Clearly specifying the roles of all parties in the agreement’s documentation</w:t>
      </w:r>
      <w:r w:rsidR="00F6211B" w:rsidRPr="00AD1496">
        <w:rPr>
          <w:rFonts w:asciiTheme="majorHAnsi" w:hAnsiTheme="majorHAnsi" w:cstheme="majorHAnsi"/>
        </w:rPr>
        <w:t>.</w:t>
      </w:r>
    </w:p>
    <w:p w14:paraId="341A8C6D" w14:textId="56878453" w:rsidR="009311A1" w:rsidRPr="00AD1496" w:rsidRDefault="009311A1" w:rsidP="00F920C5">
      <w:pPr>
        <w:pStyle w:val="ListNumber"/>
        <w:rPr>
          <w:rFonts w:asciiTheme="majorHAnsi" w:hAnsiTheme="majorHAnsi" w:cstheme="majorHAnsi"/>
        </w:rPr>
      </w:pPr>
      <w:r w:rsidRPr="00AD1496">
        <w:rPr>
          <w:rFonts w:asciiTheme="majorHAnsi" w:hAnsiTheme="majorHAnsi" w:cstheme="majorHAnsi"/>
        </w:rPr>
        <w:t xml:space="preserve">Structuring </w:t>
      </w:r>
      <w:r w:rsidR="002F5FE1" w:rsidRPr="00AD1496">
        <w:rPr>
          <w:rFonts w:asciiTheme="majorHAnsi" w:hAnsiTheme="majorHAnsi" w:cstheme="majorHAnsi"/>
        </w:rPr>
        <w:t xml:space="preserve">similar future </w:t>
      </w:r>
      <w:r w:rsidRPr="00AD1496">
        <w:rPr>
          <w:rFonts w:asciiTheme="majorHAnsi" w:hAnsiTheme="majorHAnsi" w:cstheme="majorHAnsi"/>
        </w:rPr>
        <w:t>NPA</w:t>
      </w:r>
      <w:r w:rsidR="002F5FE1" w:rsidRPr="00AD1496">
        <w:rPr>
          <w:rFonts w:asciiTheme="majorHAnsi" w:hAnsiTheme="majorHAnsi" w:cstheme="majorHAnsi"/>
        </w:rPr>
        <w:t>s</w:t>
      </w:r>
      <w:r w:rsidRPr="00AD1496">
        <w:rPr>
          <w:rFonts w:asciiTheme="majorHAnsi" w:hAnsiTheme="majorHAnsi" w:cstheme="majorHAnsi"/>
        </w:rPr>
        <w:t xml:space="preserve"> as a head agreement </w:t>
      </w:r>
      <w:r w:rsidR="002C7099" w:rsidRPr="00AD1496">
        <w:rPr>
          <w:rFonts w:asciiTheme="majorHAnsi" w:hAnsiTheme="majorHAnsi" w:cstheme="majorHAnsi"/>
        </w:rPr>
        <w:t xml:space="preserve">with schedules which have </w:t>
      </w:r>
      <w:r w:rsidR="00F920C5" w:rsidRPr="00AD1496">
        <w:rPr>
          <w:rFonts w:asciiTheme="majorHAnsi" w:hAnsiTheme="majorHAnsi" w:cstheme="majorHAnsi"/>
        </w:rPr>
        <w:t>clearly define</w:t>
      </w:r>
      <w:r w:rsidR="002C7099" w:rsidRPr="00AD1496">
        <w:rPr>
          <w:rFonts w:asciiTheme="majorHAnsi" w:hAnsiTheme="majorHAnsi" w:cstheme="majorHAnsi"/>
        </w:rPr>
        <w:t>d</w:t>
      </w:r>
      <w:r w:rsidR="00F920C5" w:rsidRPr="00AD1496">
        <w:rPr>
          <w:rFonts w:asciiTheme="majorHAnsi" w:hAnsiTheme="majorHAnsi" w:cstheme="majorHAnsi"/>
        </w:rPr>
        <w:t xml:space="preserve"> implementation schedules and milestones</w:t>
      </w:r>
      <w:r w:rsidR="00F6211B" w:rsidRPr="00AD1496">
        <w:rPr>
          <w:rFonts w:asciiTheme="majorHAnsi" w:hAnsiTheme="majorHAnsi" w:cstheme="majorHAnsi"/>
        </w:rPr>
        <w:t>.</w:t>
      </w:r>
    </w:p>
    <w:p w14:paraId="15F2017F" w14:textId="7B7A0C36" w:rsidR="00F920C5" w:rsidRPr="00AD1496" w:rsidRDefault="002C7099" w:rsidP="00F920C5">
      <w:pPr>
        <w:pStyle w:val="ListNumber"/>
        <w:rPr>
          <w:rFonts w:asciiTheme="majorHAnsi" w:hAnsiTheme="majorHAnsi" w:cstheme="majorHAnsi"/>
        </w:rPr>
      </w:pPr>
      <w:r w:rsidRPr="00AD1496">
        <w:rPr>
          <w:rFonts w:asciiTheme="majorHAnsi" w:hAnsiTheme="majorHAnsi" w:cstheme="majorHAnsi"/>
        </w:rPr>
        <w:t>With the aim of maximising the independence and credibility of a future NPA, c</w:t>
      </w:r>
      <w:r w:rsidR="00F920C5" w:rsidRPr="00AD1496">
        <w:rPr>
          <w:rFonts w:asciiTheme="majorHAnsi" w:hAnsiTheme="majorHAnsi" w:cstheme="majorHAnsi"/>
        </w:rPr>
        <w:t xml:space="preserve">onsider which </w:t>
      </w:r>
      <w:r w:rsidR="007A7FE9">
        <w:rPr>
          <w:rFonts w:asciiTheme="majorHAnsi" w:hAnsiTheme="majorHAnsi" w:cstheme="majorHAnsi"/>
        </w:rPr>
        <w:t xml:space="preserve">entity </w:t>
      </w:r>
      <w:r w:rsidR="00F920C5" w:rsidRPr="00AD1496">
        <w:rPr>
          <w:rFonts w:asciiTheme="majorHAnsi" w:hAnsiTheme="majorHAnsi" w:cstheme="majorHAnsi"/>
        </w:rPr>
        <w:t xml:space="preserve">is best </w:t>
      </w:r>
      <w:r w:rsidR="007A7FE9">
        <w:rPr>
          <w:rFonts w:asciiTheme="majorHAnsi" w:hAnsiTheme="majorHAnsi" w:cstheme="majorHAnsi"/>
        </w:rPr>
        <w:t xml:space="preserve">placed </w:t>
      </w:r>
      <w:r w:rsidR="00F920C5" w:rsidRPr="00AD1496">
        <w:rPr>
          <w:rFonts w:asciiTheme="majorHAnsi" w:hAnsiTheme="majorHAnsi" w:cstheme="majorHAnsi"/>
        </w:rPr>
        <w:t xml:space="preserve">to </w:t>
      </w:r>
      <w:r w:rsidR="007A7FE9">
        <w:rPr>
          <w:rFonts w:asciiTheme="majorHAnsi" w:hAnsiTheme="majorHAnsi" w:cstheme="majorHAnsi"/>
        </w:rPr>
        <w:t xml:space="preserve">undertake </w:t>
      </w:r>
      <w:r w:rsidR="00F920C5" w:rsidRPr="00AD1496">
        <w:rPr>
          <w:rFonts w:asciiTheme="majorHAnsi" w:hAnsiTheme="majorHAnsi" w:cstheme="majorHAnsi"/>
        </w:rPr>
        <w:t>assessment arrangement</w:t>
      </w:r>
      <w:r w:rsidR="00F94846" w:rsidRPr="00AD1496">
        <w:rPr>
          <w:rFonts w:asciiTheme="majorHAnsi" w:hAnsiTheme="majorHAnsi" w:cstheme="majorHAnsi"/>
        </w:rPr>
        <w:t>s</w:t>
      </w:r>
      <w:r w:rsidRPr="00AD1496">
        <w:rPr>
          <w:rFonts w:asciiTheme="majorHAnsi" w:hAnsiTheme="majorHAnsi" w:cstheme="majorHAnsi"/>
        </w:rPr>
        <w:t>.</w:t>
      </w:r>
    </w:p>
    <w:p w14:paraId="6B95832F" w14:textId="351580D5" w:rsidR="00830BFF" w:rsidRDefault="00830BFF" w:rsidP="00F920C5">
      <w:pPr>
        <w:pStyle w:val="ListNumber"/>
        <w:rPr>
          <w:rFonts w:asciiTheme="majorHAnsi" w:hAnsiTheme="majorHAnsi" w:cstheme="majorHAnsi"/>
        </w:rPr>
      </w:pPr>
      <w:r>
        <w:rPr>
          <w:rFonts w:asciiTheme="majorHAnsi" w:hAnsiTheme="majorHAnsi" w:cstheme="majorHAnsi"/>
        </w:rPr>
        <w:lastRenderedPageBreak/>
        <w:t xml:space="preserve">Designing ambitious, graduated milestones that alleviate the </w:t>
      </w:r>
      <w:r w:rsidR="00E80514">
        <w:rPr>
          <w:rFonts w:asciiTheme="majorHAnsi" w:hAnsiTheme="majorHAnsi" w:cstheme="majorHAnsi"/>
        </w:rPr>
        <w:t xml:space="preserve">pressure of judging partial completion </w:t>
      </w:r>
      <w:r>
        <w:rPr>
          <w:rFonts w:asciiTheme="majorHAnsi" w:hAnsiTheme="majorHAnsi" w:cstheme="majorHAnsi"/>
        </w:rPr>
        <w:t xml:space="preserve">and </w:t>
      </w:r>
      <w:r w:rsidR="00E80514">
        <w:rPr>
          <w:rFonts w:asciiTheme="majorHAnsi" w:hAnsiTheme="majorHAnsi" w:cstheme="majorHAnsi"/>
        </w:rPr>
        <w:t xml:space="preserve">define early milestones as </w:t>
      </w:r>
      <w:r>
        <w:rPr>
          <w:rFonts w:asciiTheme="majorHAnsi" w:hAnsiTheme="majorHAnsi" w:cstheme="majorHAnsi"/>
        </w:rPr>
        <w:t>prerequisite</w:t>
      </w:r>
      <w:r w:rsidR="00E80514">
        <w:rPr>
          <w:rFonts w:asciiTheme="majorHAnsi" w:hAnsiTheme="majorHAnsi" w:cstheme="majorHAnsi"/>
        </w:rPr>
        <w:t>s</w:t>
      </w:r>
      <w:r>
        <w:rPr>
          <w:rFonts w:asciiTheme="majorHAnsi" w:hAnsiTheme="majorHAnsi" w:cstheme="majorHAnsi"/>
        </w:rPr>
        <w:t xml:space="preserve"> </w:t>
      </w:r>
      <w:r w:rsidR="00E80514">
        <w:rPr>
          <w:rFonts w:asciiTheme="majorHAnsi" w:hAnsiTheme="majorHAnsi" w:cstheme="majorHAnsi"/>
        </w:rPr>
        <w:t>for the achievement of, and payment for, later milestones</w:t>
      </w:r>
      <w:r>
        <w:rPr>
          <w:rFonts w:asciiTheme="majorHAnsi" w:hAnsiTheme="majorHAnsi" w:cstheme="majorHAnsi"/>
        </w:rPr>
        <w:t>.</w:t>
      </w:r>
    </w:p>
    <w:p w14:paraId="09005AE6" w14:textId="333C97C5" w:rsidR="00156B20" w:rsidRPr="00AD1496" w:rsidRDefault="00F6211B" w:rsidP="00F920C5">
      <w:pPr>
        <w:pStyle w:val="ListNumber"/>
        <w:rPr>
          <w:rFonts w:asciiTheme="majorHAnsi" w:hAnsiTheme="majorHAnsi" w:cstheme="majorHAnsi"/>
        </w:rPr>
      </w:pPr>
      <w:r w:rsidRPr="00AD1496">
        <w:rPr>
          <w:rFonts w:asciiTheme="majorHAnsi" w:hAnsiTheme="majorHAnsi" w:cstheme="majorHAnsi"/>
        </w:rPr>
        <w:t xml:space="preserve">Providing specialised training for agency staff who are working within complex </w:t>
      </w:r>
      <w:r w:rsidR="00CA1818" w:rsidRPr="00AD1496">
        <w:rPr>
          <w:rFonts w:asciiTheme="majorHAnsi" w:hAnsiTheme="majorHAnsi" w:cstheme="majorHAnsi"/>
        </w:rPr>
        <w:t xml:space="preserve">environments similar to those facilitating </w:t>
      </w:r>
      <w:r w:rsidRPr="00AD1496">
        <w:rPr>
          <w:rFonts w:asciiTheme="majorHAnsi" w:hAnsiTheme="majorHAnsi" w:cstheme="majorHAnsi"/>
        </w:rPr>
        <w:t>Murray-Darling Basin water reforms.</w:t>
      </w:r>
    </w:p>
    <w:p w14:paraId="6DABD3F6" w14:textId="18114821" w:rsidR="00156B20" w:rsidRPr="00AD1496" w:rsidRDefault="002C7099" w:rsidP="00F920C5">
      <w:pPr>
        <w:pStyle w:val="ListNumber"/>
        <w:rPr>
          <w:rFonts w:asciiTheme="majorHAnsi" w:hAnsiTheme="majorHAnsi" w:cstheme="majorHAnsi"/>
        </w:rPr>
      </w:pPr>
      <w:r w:rsidRPr="00AD1496">
        <w:rPr>
          <w:rFonts w:asciiTheme="majorHAnsi" w:hAnsiTheme="majorHAnsi" w:cstheme="majorHAnsi"/>
        </w:rPr>
        <w:t xml:space="preserve">Ensuring that a future NPA is consistent with </w:t>
      </w:r>
      <w:r w:rsidR="007162E5" w:rsidRPr="00AD1496">
        <w:rPr>
          <w:rFonts w:asciiTheme="majorHAnsi" w:hAnsiTheme="majorHAnsi" w:cstheme="majorHAnsi"/>
        </w:rPr>
        <w:t>the</w:t>
      </w:r>
      <w:r w:rsidR="00DF5B3C" w:rsidRPr="00AD1496">
        <w:rPr>
          <w:rFonts w:asciiTheme="majorHAnsi" w:hAnsiTheme="majorHAnsi" w:cstheme="majorHAnsi"/>
        </w:rPr>
        <w:t xml:space="preserve"> </w:t>
      </w:r>
      <w:r w:rsidR="007162E5" w:rsidRPr="00AD1496">
        <w:rPr>
          <w:rFonts w:asciiTheme="majorHAnsi" w:hAnsiTheme="majorHAnsi" w:cstheme="majorHAnsi"/>
        </w:rPr>
        <w:t>Intergovernmental Agreement on Federal Financial Relations</w:t>
      </w:r>
      <w:r w:rsidR="001464B2" w:rsidRPr="00AD1496">
        <w:rPr>
          <w:rFonts w:asciiTheme="majorHAnsi" w:hAnsiTheme="majorHAnsi" w:cstheme="majorHAnsi"/>
        </w:rPr>
        <w:t xml:space="preserve">’ </w:t>
      </w:r>
      <w:r w:rsidRPr="00AD1496">
        <w:rPr>
          <w:rFonts w:asciiTheme="majorHAnsi" w:hAnsiTheme="majorHAnsi" w:cstheme="majorHAnsi"/>
        </w:rPr>
        <w:t>principles for best practice</w:t>
      </w:r>
      <w:r w:rsidR="007162E5" w:rsidRPr="00AD1496">
        <w:rPr>
          <w:rFonts w:asciiTheme="majorHAnsi" w:hAnsiTheme="majorHAnsi" w:cstheme="majorHAnsi"/>
        </w:rPr>
        <w:t xml:space="preserve"> in National Agreements</w:t>
      </w:r>
      <w:r w:rsidRPr="00AD1496">
        <w:rPr>
          <w:rFonts w:asciiTheme="majorHAnsi" w:hAnsiTheme="majorHAnsi" w:cstheme="majorHAnsi"/>
        </w:rPr>
        <w:t>.</w:t>
      </w:r>
    </w:p>
    <w:p w14:paraId="34F64C88" w14:textId="64B6FFC2" w:rsidR="00391143" w:rsidRPr="00AD1496" w:rsidRDefault="00391143" w:rsidP="00391143">
      <w:pPr>
        <w:rPr>
          <w:rFonts w:asciiTheme="majorHAnsi" w:hAnsiTheme="majorHAnsi" w:cstheme="majorHAnsi"/>
        </w:rPr>
      </w:pPr>
      <w:bookmarkStart w:id="8" w:name="_ew09o0m8l4ur" w:colFirst="0" w:colLast="0"/>
      <w:bookmarkStart w:id="9" w:name="_7tsvykwhdijv" w:colFirst="0" w:colLast="0"/>
      <w:bookmarkEnd w:id="8"/>
      <w:bookmarkEnd w:id="9"/>
    </w:p>
    <w:p w14:paraId="28647EC9" w14:textId="77777777" w:rsidR="00BE6A0E" w:rsidRPr="00AD1496" w:rsidRDefault="00BE6A0E" w:rsidP="00BE6A0E">
      <w:pPr>
        <w:pStyle w:val="ListBullet"/>
        <w:numPr>
          <w:ilvl w:val="0"/>
          <w:numId w:val="0"/>
        </w:numPr>
        <w:ind w:left="454" w:hanging="454"/>
        <w:rPr>
          <w:rFonts w:asciiTheme="majorHAnsi" w:hAnsiTheme="majorHAnsi" w:cstheme="majorHAnsi"/>
        </w:rPr>
      </w:pPr>
    </w:p>
    <w:p w14:paraId="3260A623" w14:textId="77777777" w:rsidR="001334F9" w:rsidRPr="00AD1496" w:rsidRDefault="001334F9" w:rsidP="001334F9">
      <w:pPr>
        <w:rPr>
          <w:rFonts w:asciiTheme="majorHAnsi" w:hAnsiTheme="majorHAnsi" w:cstheme="majorHAnsi"/>
        </w:rPr>
        <w:sectPr w:rsidR="001334F9" w:rsidRPr="00AD1496" w:rsidSect="007E4755">
          <w:pgSz w:w="11906" w:h="16838" w:code="9"/>
          <w:pgMar w:top="1418" w:right="1418" w:bottom="1418" w:left="1418" w:header="567" w:footer="567" w:gutter="0"/>
          <w:pgNumType w:fmt="lowerRoman"/>
          <w:cols w:space="708"/>
          <w:docGrid w:linePitch="360"/>
        </w:sectPr>
      </w:pPr>
    </w:p>
    <w:p w14:paraId="40D25146" w14:textId="77777777" w:rsidR="009E264A" w:rsidRPr="00AD1496" w:rsidRDefault="0006447B" w:rsidP="007A065E">
      <w:pPr>
        <w:pStyle w:val="Heading1"/>
        <w:numPr>
          <w:ilvl w:val="0"/>
          <w:numId w:val="6"/>
        </w:numPr>
        <w:rPr>
          <w:rFonts w:asciiTheme="majorHAnsi" w:hAnsiTheme="majorHAnsi" w:cstheme="majorHAnsi"/>
        </w:rPr>
      </w:pPr>
      <w:bookmarkStart w:id="10" w:name="_Ref18410555"/>
      <w:bookmarkStart w:id="11" w:name="_Toc33700614"/>
      <w:bookmarkStart w:id="12" w:name="_Toc303346376"/>
      <w:r w:rsidRPr="00AD1496">
        <w:rPr>
          <w:rFonts w:asciiTheme="majorHAnsi" w:hAnsiTheme="majorHAnsi" w:cstheme="majorHAnsi"/>
        </w:rPr>
        <w:lastRenderedPageBreak/>
        <w:t>Background</w:t>
      </w:r>
      <w:bookmarkEnd w:id="10"/>
      <w:bookmarkEnd w:id="11"/>
    </w:p>
    <w:p w14:paraId="23CB8369" w14:textId="44451E61" w:rsidR="008C7C20" w:rsidRPr="00AD1496" w:rsidRDefault="008C7C20" w:rsidP="00691206">
      <w:pPr>
        <w:pStyle w:val="Heading2"/>
        <w:rPr>
          <w:rFonts w:asciiTheme="majorHAnsi" w:hAnsiTheme="majorHAnsi" w:cstheme="majorHAnsi"/>
        </w:rPr>
      </w:pPr>
      <w:bookmarkStart w:id="13" w:name="_Toc33700615"/>
      <w:r w:rsidRPr="00AD1496">
        <w:rPr>
          <w:rFonts w:asciiTheme="majorHAnsi" w:hAnsiTheme="majorHAnsi" w:cstheme="majorHAnsi"/>
        </w:rPr>
        <w:t>This report</w:t>
      </w:r>
      <w:bookmarkEnd w:id="13"/>
    </w:p>
    <w:p w14:paraId="5F84CBFC" w14:textId="15A2DB80"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This report documents the final review of the </w:t>
      </w:r>
      <w:r w:rsidRPr="00AD1496">
        <w:rPr>
          <w:rFonts w:asciiTheme="majorHAnsi" w:hAnsiTheme="majorHAnsi" w:cstheme="majorHAnsi"/>
          <w:i/>
        </w:rPr>
        <w:t>National Partnership Agreement on Implementing Water Reform in the Murray-Darling Basin</w:t>
      </w:r>
      <w:r w:rsidRPr="00AD1496">
        <w:rPr>
          <w:rFonts w:asciiTheme="majorHAnsi" w:hAnsiTheme="majorHAnsi" w:cstheme="majorHAnsi"/>
        </w:rPr>
        <w:t xml:space="preserve"> (the NPA). Clause 34 of the NPA requires that it be reviewed with regard to progress made by the Parties in achieving the agreed outcomes 12 months before the end of the NPA.</w:t>
      </w:r>
    </w:p>
    <w:p w14:paraId="04926F6C" w14:textId="604434FF"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ARTD Consultants was engaged by the Department of Agriculture (the Department) to complete the final review. </w:t>
      </w:r>
    </w:p>
    <w:p w14:paraId="00C932CB" w14:textId="77777777" w:rsidR="0046611E" w:rsidRPr="00AD1496" w:rsidRDefault="0046611E" w:rsidP="0046611E">
      <w:pPr>
        <w:rPr>
          <w:rFonts w:asciiTheme="majorHAnsi" w:hAnsiTheme="majorHAnsi" w:cstheme="majorHAnsi"/>
        </w:rPr>
      </w:pPr>
      <w:r w:rsidRPr="00AD1496">
        <w:rPr>
          <w:rFonts w:asciiTheme="majorHAnsi" w:hAnsiTheme="majorHAnsi" w:cstheme="majorHAnsi"/>
        </w:rPr>
        <w:t>The review team drew on three primary sources to inform the review.</w:t>
      </w:r>
    </w:p>
    <w:p w14:paraId="41AE3DD5" w14:textId="77777777" w:rsidR="0046611E" w:rsidRPr="00AD1496" w:rsidRDefault="0046611E" w:rsidP="008D175D">
      <w:pPr>
        <w:pStyle w:val="ListNumber"/>
        <w:numPr>
          <w:ilvl w:val="0"/>
          <w:numId w:val="31"/>
        </w:numPr>
        <w:rPr>
          <w:rFonts w:asciiTheme="majorHAnsi" w:hAnsiTheme="majorHAnsi" w:cstheme="majorHAnsi"/>
        </w:rPr>
      </w:pPr>
      <w:r w:rsidRPr="00AD1496">
        <w:rPr>
          <w:rFonts w:asciiTheme="majorHAnsi" w:hAnsiTheme="majorHAnsi" w:cstheme="majorHAnsi"/>
        </w:rPr>
        <w:t>Document review—171 documents provided by the Department were reviewed</w:t>
      </w:r>
    </w:p>
    <w:p w14:paraId="5486F509" w14:textId="2527B14F" w:rsidR="0046611E" w:rsidRPr="00AD1496" w:rsidRDefault="0046611E" w:rsidP="0046611E">
      <w:pPr>
        <w:pStyle w:val="ListNumber"/>
        <w:rPr>
          <w:rFonts w:asciiTheme="majorHAnsi" w:hAnsiTheme="majorHAnsi" w:cstheme="majorHAnsi"/>
        </w:rPr>
      </w:pPr>
      <w:r w:rsidRPr="00AD1496">
        <w:rPr>
          <w:rFonts w:asciiTheme="majorHAnsi" w:hAnsiTheme="majorHAnsi" w:cstheme="majorHAnsi"/>
        </w:rPr>
        <w:t xml:space="preserve">Stakeholder interviews—with representatives from all Basin States, </w:t>
      </w:r>
      <w:r w:rsidR="002F5FE1" w:rsidRPr="00AD1496">
        <w:rPr>
          <w:rFonts w:asciiTheme="majorHAnsi" w:hAnsiTheme="majorHAnsi" w:cstheme="majorHAnsi"/>
        </w:rPr>
        <w:t xml:space="preserve">the Department of </w:t>
      </w:r>
      <w:r w:rsidR="00A869AC" w:rsidRPr="00AD1496">
        <w:rPr>
          <w:rFonts w:asciiTheme="majorHAnsi" w:hAnsiTheme="majorHAnsi" w:cstheme="majorHAnsi"/>
        </w:rPr>
        <w:t>Prime Minister and Cabinet (</w:t>
      </w:r>
      <w:r w:rsidRPr="00AD1496">
        <w:rPr>
          <w:rFonts w:asciiTheme="majorHAnsi" w:hAnsiTheme="majorHAnsi" w:cstheme="majorHAnsi"/>
        </w:rPr>
        <w:t>PM&amp;C</w:t>
      </w:r>
      <w:r w:rsidR="00A869AC" w:rsidRPr="00AD1496">
        <w:rPr>
          <w:rFonts w:asciiTheme="majorHAnsi" w:hAnsiTheme="majorHAnsi" w:cstheme="majorHAnsi"/>
        </w:rPr>
        <w:t>)</w:t>
      </w:r>
      <w:r w:rsidRPr="00AD1496">
        <w:rPr>
          <w:rFonts w:asciiTheme="majorHAnsi" w:hAnsiTheme="majorHAnsi" w:cstheme="majorHAnsi"/>
        </w:rPr>
        <w:t xml:space="preserve">, </w:t>
      </w:r>
      <w:r w:rsidR="002F5FE1" w:rsidRPr="00AD1496">
        <w:rPr>
          <w:rFonts w:asciiTheme="majorHAnsi" w:hAnsiTheme="majorHAnsi" w:cstheme="majorHAnsi"/>
        </w:rPr>
        <w:t xml:space="preserve">the </w:t>
      </w:r>
      <w:r w:rsidR="00A869AC" w:rsidRPr="00AD1496">
        <w:rPr>
          <w:rFonts w:asciiTheme="majorHAnsi" w:hAnsiTheme="majorHAnsi" w:cstheme="majorHAnsi"/>
        </w:rPr>
        <w:t xml:space="preserve">Commonwealth Environmental </w:t>
      </w:r>
      <w:r w:rsidR="00A869AC" w:rsidRPr="00AD1496">
        <w:rPr>
          <w:rFonts w:asciiTheme="majorHAnsi" w:hAnsiTheme="majorHAnsi" w:cstheme="majorHAnsi"/>
        </w:rPr>
        <w:lastRenderedPageBreak/>
        <w:t>Water Office (</w:t>
      </w:r>
      <w:r w:rsidRPr="00AD1496">
        <w:rPr>
          <w:rFonts w:asciiTheme="majorHAnsi" w:hAnsiTheme="majorHAnsi" w:cstheme="majorHAnsi"/>
        </w:rPr>
        <w:t>CEWO</w:t>
      </w:r>
      <w:r w:rsidR="00A869AC" w:rsidRPr="00AD1496">
        <w:rPr>
          <w:rFonts w:asciiTheme="majorHAnsi" w:hAnsiTheme="majorHAnsi" w:cstheme="majorHAnsi"/>
        </w:rPr>
        <w:t>)</w:t>
      </w:r>
      <w:r w:rsidRPr="00AD1496">
        <w:rPr>
          <w:rFonts w:asciiTheme="majorHAnsi" w:hAnsiTheme="majorHAnsi" w:cstheme="majorHAnsi"/>
        </w:rPr>
        <w:t xml:space="preserve">, </w:t>
      </w:r>
      <w:r w:rsidR="002F5FE1" w:rsidRPr="00AD1496">
        <w:rPr>
          <w:rFonts w:asciiTheme="majorHAnsi" w:hAnsiTheme="majorHAnsi" w:cstheme="majorHAnsi"/>
        </w:rPr>
        <w:t xml:space="preserve">the </w:t>
      </w:r>
      <w:r w:rsidR="00A869AC" w:rsidRPr="00AD1496">
        <w:rPr>
          <w:rFonts w:asciiTheme="majorHAnsi" w:hAnsiTheme="majorHAnsi" w:cstheme="majorHAnsi"/>
        </w:rPr>
        <w:t>Murray-Darling Basin Authority (</w:t>
      </w:r>
      <w:r w:rsidRPr="00AD1496">
        <w:rPr>
          <w:rFonts w:asciiTheme="majorHAnsi" w:hAnsiTheme="majorHAnsi" w:cstheme="majorHAnsi"/>
        </w:rPr>
        <w:t>MDBA</w:t>
      </w:r>
      <w:r w:rsidR="00A869AC" w:rsidRPr="00AD1496">
        <w:rPr>
          <w:rFonts w:asciiTheme="majorHAnsi" w:hAnsiTheme="majorHAnsi" w:cstheme="majorHAnsi"/>
        </w:rPr>
        <w:t>)</w:t>
      </w:r>
      <w:r w:rsidRPr="00AD1496">
        <w:rPr>
          <w:rFonts w:asciiTheme="majorHAnsi" w:hAnsiTheme="majorHAnsi" w:cstheme="majorHAnsi"/>
        </w:rPr>
        <w:t xml:space="preserve">, </w:t>
      </w:r>
      <w:r w:rsidR="002F5FE1" w:rsidRPr="00AD1496">
        <w:rPr>
          <w:rFonts w:asciiTheme="majorHAnsi" w:hAnsiTheme="majorHAnsi" w:cstheme="majorHAnsi"/>
        </w:rPr>
        <w:t xml:space="preserve">The </w:t>
      </w:r>
      <w:r w:rsidRPr="00AD1496">
        <w:rPr>
          <w:rFonts w:asciiTheme="majorHAnsi" w:hAnsiTheme="majorHAnsi" w:cstheme="majorHAnsi"/>
        </w:rPr>
        <w:t>Treasury and the Department</w:t>
      </w:r>
    </w:p>
    <w:p w14:paraId="58734BB6" w14:textId="371890BE" w:rsidR="0046611E" w:rsidRPr="00AD1496" w:rsidRDefault="0046611E" w:rsidP="0046611E">
      <w:pPr>
        <w:pStyle w:val="ListNumber"/>
        <w:rPr>
          <w:rFonts w:asciiTheme="majorHAnsi" w:hAnsiTheme="majorHAnsi" w:cstheme="majorHAnsi"/>
        </w:rPr>
      </w:pPr>
      <w:r w:rsidRPr="00AD1496">
        <w:rPr>
          <w:rFonts w:asciiTheme="majorHAnsi" w:hAnsiTheme="majorHAnsi" w:cstheme="majorHAnsi"/>
        </w:rPr>
        <w:t xml:space="preserve">Analysis of wider policy and institutional settings that frame the agreement— including those that relate to water policy </w:t>
      </w:r>
      <w:r w:rsidR="00A869AC" w:rsidRPr="00AD1496">
        <w:rPr>
          <w:rFonts w:asciiTheme="majorHAnsi" w:hAnsiTheme="majorHAnsi" w:cstheme="majorHAnsi"/>
        </w:rPr>
        <w:t>in the Murray-Darling Basin (</w:t>
      </w:r>
      <w:r w:rsidRPr="00AD1496">
        <w:rPr>
          <w:rFonts w:asciiTheme="majorHAnsi" w:hAnsiTheme="majorHAnsi" w:cstheme="majorHAnsi"/>
        </w:rPr>
        <w:t>MDB</w:t>
      </w:r>
      <w:r w:rsidR="00A869AC" w:rsidRPr="00AD1496">
        <w:rPr>
          <w:rFonts w:asciiTheme="majorHAnsi" w:hAnsiTheme="majorHAnsi" w:cstheme="majorHAnsi"/>
        </w:rPr>
        <w:t>)</w:t>
      </w:r>
      <w:r w:rsidRPr="00AD1496">
        <w:rPr>
          <w:rFonts w:asciiTheme="majorHAnsi" w:hAnsiTheme="majorHAnsi" w:cstheme="majorHAnsi"/>
        </w:rPr>
        <w:t xml:space="preserve">, and those </w:t>
      </w:r>
      <w:r w:rsidR="002B112F" w:rsidRPr="00AD1496">
        <w:rPr>
          <w:rFonts w:asciiTheme="majorHAnsi" w:hAnsiTheme="majorHAnsi" w:cstheme="majorHAnsi"/>
        </w:rPr>
        <w:t xml:space="preserve">that </w:t>
      </w:r>
      <w:r w:rsidRPr="00AD1496">
        <w:rPr>
          <w:rFonts w:asciiTheme="majorHAnsi" w:hAnsiTheme="majorHAnsi" w:cstheme="majorHAnsi"/>
        </w:rPr>
        <w:t>relate to financial relations in the federation</w:t>
      </w:r>
      <w:r w:rsidR="00A869AC" w:rsidRPr="00AD1496">
        <w:rPr>
          <w:rFonts w:asciiTheme="majorHAnsi" w:hAnsiTheme="majorHAnsi" w:cstheme="majorHAnsi"/>
        </w:rPr>
        <w:t xml:space="preserve">, </w:t>
      </w:r>
      <w:r w:rsidRPr="00AD1496">
        <w:rPr>
          <w:rFonts w:asciiTheme="majorHAnsi" w:hAnsiTheme="majorHAnsi" w:cstheme="majorHAnsi"/>
        </w:rPr>
        <w:t>such as the Council on Federal Financial Relations’ (</w:t>
      </w:r>
      <w:r w:rsidR="00A869AC" w:rsidRPr="00AD1496">
        <w:rPr>
          <w:rFonts w:asciiTheme="majorHAnsi" w:hAnsiTheme="majorHAnsi" w:cstheme="majorHAnsi"/>
        </w:rPr>
        <w:t>C</w:t>
      </w:r>
      <w:r w:rsidRPr="00AD1496">
        <w:rPr>
          <w:rFonts w:asciiTheme="majorHAnsi" w:hAnsiTheme="majorHAnsi" w:cstheme="majorHAnsi"/>
        </w:rPr>
        <w:t>FFR) short guide to reviewing National Partnerships.</w:t>
      </w:r>
    </w:p>
    <w:p w14:paraId="5A2C5F1B" w14:textId="77777777" w:rsidR="0046611E" w:rsidRPr="00AD1496" w:rsidRDefault="0046611E" w:rsidP="0046611E">
      <w:pPr>
        <w:pStyle w:val="ListNumber"/>
        <w:numPr>
          <w:ilvl w:val="0"/>
          <w:numId w:val="0"/>
        </w:numPr>
        <w:ind w:left="454" w:hanging="454"/>
        <w:rPr>
          <w:rFonts w:asciiTheme="majorHAnsi" w:hAnsiTheme="majorHAnsi" w:cstheme="majorHAnsi"/>
        </w:rPr>
      </w:pPr>
    </w:p>
    <w:p w14:paraId="73496E6A" w14:textId="77777777" w:rsidR="0046611E" w:rsidRPr="00AD1496" w:rsidRDefault="0046611E" w:rsidP="0046611E">
      <w:pPr>
        <w:rPr>
          <w:rFonts w:asciiTheme="majorHAnsi" w:hAnsiTheme="majorHAnsi" w:cstheme="majorHAnsi"/>
        </w:rPr>
      </w:pPr>
      <w:r w:rsidRPr="00AD1496">
        <w:rPr>
          <w:rFonts w:asciiTheme="majorHAnsi" w:hAnsiTheme="majorHAnsi" w:cstheme="majorHAnsi"/>
        </w:rPr>
        <w:t>This report is structured as follows:</w:t>
      </w:r>
    </w:p>
    <w:p w14:paraId="631DD004" w14:textId="233B4EFD" w:rsidR="0046611E" w:rsidRPr="00AD1496" w:rsidRDefault="0046611E" w:rsidP="0046611E">
      <w:pPr>
        <w:pStyle w:val="ListBullet"/>
        <w:rPr>
          <w:rFonts w:asciiTheme="majorHAnsi" w:hAnsiTheme="majorHAnsi" w:cstheme="majorHAnsi"/>
        </w:rPr>
      </w:pPr>
      <w:r w:rsidRPr="00AD1496">
        <w:rPr>
          <w:rFonts w:asciiTheme="majorHAnsi" w:hAnsiTheme="majorHAnsi" w:cstheme="majorHAnsi"/>
        </w:rPr>
        <w:t xml:space="preserve">Section </w:t>
      </w:r>
      <w:r w:rsidR="00462B93" w:rsidRPr="00AD1496">
        <w:rPr>
          <w:rFonts w:asciiTheme="majorHAnsi" w:hAnsiTheme="majorHAnsi" w:cstheme="majorHAnsi"/>
        </w:rPr>
        <w:fldChar w:fldCharType="begin"/>
      </w:r>
      <w:r w:rsidR="00462B93" w:rsidRPr="00AD1496">
        <w:rPr>
          <w:rFonts w:asciiTheme="majorHAnsi" w:hAnsiTheme="majorHAnsi" w:cstheme="majorHAnsi"/>
        </w:rPr>
        <w:instrText xml:space="preserve"> REF _Ref18410555 \r \h </w:instrText>
      </w:r>
      <w:r w:rsidR="00AD1496">
        <w:rPr>
          <w:rFonts w:asciiTheme="majorHAnsi" w:hAnsiTheme="majorHAnsi" w:cstheme="majorHAnsi"/>
        </w:rPr>
        <w:instrText xml:space="preserve"> \* MERGEFORMAT </w:instrText>
      </w:r>
      <w:r w:rsidR="00462B93" w:rsidRPr="00AD1496">
        <w:rPr>
          <w:rFonts w:asciiTheme="majorHAnsi" w:hAnsiTheme="majorHAnsi" w:cstheme="majorHAnsi"/>
        </w:rPr>
      </w:r>
      <w:r w:rsidR="00462B93" w:rsidRPr="00AD1496">
        <w:rPr>
          <w:rFonts w:asciiTheme="majorHAnsi" w:hAnsiTheme="majorHAnsi" w:cstheme="majorHAnsi"/>
        </w:rPr>
        <w:fldChar w:fldCharType="separate"/>
      </w:r>
      <w:r w:rsidR="00DF313B">
        <w:rPr>
          <w:rFonts w:asciiTheme="majorHAnsi" w:hAnsiTheme="majorHAnsi" w:cstheme="majorHAnsi"/>
        </w:rPr>
        <w:t>1</w:t>
      </w:r>
      <w:r w:rsidR="00462B93" w:rsidRPr="00AD1496">
        <w:rPr>
          <w:rFonts w:asciiTheme="majorHAnsi" w:hAnsiTheme="majorHAnsi" w:cstheme="majorHAnsi"/>
        </w:rPr>
        <w:fldChar w:fldCharType="end"/>
      </w:r>
      <w:r w:rsidRPr="00AD1496">
        <w:rPr>
          <w:rFonts w:asciiTheme="majorHAnsi" w:hAnsiTheme="majorHAnsi" w:cstheme="majorHAnsi"/>
        </w:rPr>
        <w:t xml:space="preserve"> provides background to the NPA and this review</w:t>
      </w:r>
    </w:p>
    <w:p w14:paraId="09C21EDF" w14:textId="3551F57C" w:rsidR="0046611E" w:rsidRPr="00AD1496" w:rsidRDefault="0046611E" w:rsidP="0046611E">
      <w:pPr>
        <w:pStyle w:val="ListBullet"/>
        <w:rPr>
          <w:rFonts w:asciiTheme="majorHAnsi" w:hAnsiTheme="majorHAnsi" w:cstheme="majorHAnsi"/>
        </w:rPr>
      </w:pPr>
      <w:r w:rsidRPr="00AD1496">
        <w:rPr>
          <w:rFonts w:asciiTheme="majorHAnsi" w:hAnsiTheme="majorHAnsi" w:cstheme="majorHAnsi"/>
        </w:rPr>
        <w:t xml:space="preserve">Section </w:t>
      </w:r>
      <w:r w:rsidR="00462B93" w:rsidRPr="00AD1496">
        <w:rPr>
          <w:rFonts w:asciiTheme="majorHAnsi" w:hAnsiTheme="majorHAnsi" w:cstheme="majorHAnsi"/>
        </w:rPr>
        <w:fldChar w:fldCharType="begin"/>
      </w:r>
      <w:r w:rsidR="00462B93" w:rsidRPr="00AD1496">
        <w:rPr>
          <w:rFonts w:asciiTheme="majorHAnsi" w:hAnsiTheme="majorHAnsi" w:cstheme="majorHAnsi"/>
        </w:rPr>
        <w:instrText xml:space="preserve"> REF _Ref11847787 \r \h </w:instrText>
      </w:r>
      <w:r w:rsidR="00AD1496">
        <w:rPr>
          <w:rFonts w:asciiTheme="majorHAnsi" w:hAnsiTheme="majorHAnsi" w:cstheme="majorHAnsi"/>
        </w:rPr>
        <w:instrText xml:space="preserve"> \* MERGEFORMAT </w:instrText>
      </w:r>
      <w:r w:rsidR="00462B93" w:rsidRPr="00AD1496">
        <w:rPr>
          <w:rFonts w:asciiTheme="majorHAnsi" w:hAnsiTheme="majorHAnsi" w:cstheme="majorHAnsi"/>
        </w:rPr>
      </w:r>
      <w:r w:rsidR="00462B93" w:rsidRPr="00AD1496">
        <w:rPr>
          <w:rFonts w:asciiTheme="majorHAnsi" w:hAnsiTheme="majorHAnsi" w:cstheme="majorHAnsi"/>
        </w:rPr>
        <w:fldChar w:fldCharType="separate"/>
      </w:r>
      <w:r w:rsidR="00DF313B">
        <w:rPr>
          <w:rFonts w:asciiTheme="majorHAnsi" w:hAnsiTheme="majorHAnsi" w:cstheme="majorHAnsi"/>
        </w:rPr>
        <w:t>2</w:t>
      </w:r>
      <w:r w:rsidR="00462B93" w:rsidRPr="00AD1496">
        <w:rPr>
          <w:rFonts w:asciiTheme="majorHAnsi" w:hAnsiTheme="majorHAnsi" w:cstheme="majorHAnsi"/>
        </w:rPr>
        <w:fldChar w:fldCharType="end"/>
      </w:r>
      <w:r w:rsidRPr="00AD1496">
        <w:rPr>
          <w:rFonts w:asciiTheme="majorHAnsi" w:hAnsiTheme="majorHAnsi" w:cstheme="majorHAnsi"/>
        </w:rPr>
        <w:t xml:space="preserve"> summarises the methodology adopted</w:t>
      </w:r>
    </w:p>
    <w:p w14:paraId="4524A397" w14:textId="24436B04" w:rsidR="0046611E" w:rsidRPr="00AD1496" w:rsidRDefault="00462B93" w:rsidP="00462B93">
      <w:pPr>
        <w:pStyle w:val="ListBullet"/>
        <w:rPr>
          <w:rFonts w:asciiTheme="majorHAnsi" w:hAnsiTheme="majorHAnsi" w:cstheme="majorHAnsi"/>
        </w:rPr>
      </w:pPr>
      <w:r w:rsidRPr="00AD1496">
        <w:rPr>
          <w:rFonts w:asciiTheme="majorHAnsi" w:hAnsiTheme="majorHAnsi" w:cstheme="majorHAnsi"/>
        </w:rPr>
        <w:t xml:space="preserve">Section </w:t>
      </w:r>
      <w:r w:rsidRPr="00AD1496">
        <w:rPr>
          <w:rFonts w:asciiTheme="majorHAnsi" w:hAnsiTheme="majorHAnsi" w:cstheme="majorHAnsi"/>
        </w:rPr>
        <w:fldChar w:fldCharType="begin"/>
      </w:r>
      <w:r w:rsidRPr="00AD1496">
        <w:rPr>
          <w:rFonts w:asciiTheme="majorHAnsi" w:hAnsiTheme="majorHAnsi" w:cstheme="majorHAnsi"/>
        </w:rPr>
        <w:instrText xml:space="preserve"> REF _Ref18410538 \r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3</w:t>
      </w:r>
      <w:r w:rsidRPr="00AD1496">
        <w:rPr>
          <w:rFonts w:asciiTheme="majorHAnsi" w:hAnsiTheme="majorHAnsi" w:cstheme="majorHAnsi"/>
        </w:rPr>
        <w:fldChar w:fldCharType="end"/>
      </w:r>
      <w:r w:rsidR="0046611E" w:rsidRPr="00AD1496">
        <w:rPr>
          <w:rFonts w:asciiTheme="majorHAnsi" w:hAnsiTheme="majorHAnsi" w:cstheme="majorHAnsi"/>
        </w:rPr>
        <w:t xml:space="preserve"> details the </w:t>
      </w:r>
      <w:r w:rsidRPr="00AD1496">
        <w:rPr>
          <w:rFonts w:asciiTheme="majorHAnsi" w:hAnsiTheme="majorHAnsi" w:cstheme="majorHAnsi"/>
        </w:rPr>
        <w:t>performance of the NPA and includes recommendations for any similar future NPA</w:t>
      </w:r>
    </w:p>
    <w:p w14:paraId="29A4ACE7" w14:textId="77777777" w:rsidR="0046611E" w:rsidRPr="00AD1496" w:rsidRDefault="0046611E" w:rsidP="00691206">
      <w:pPr>
        <w:pStyle w:val="Heading2"/>
        <w:rPr>
          <w:rFonts w:asciiTheme="majorHAnsi" w:hAnsiTheme="majorHAnsi" w:cstheme="majorHAnsi"/>
        </w:rPr>
      </w:pPr>
      <w:bookmarkStart w:id="14" w:name="_nmpj78unphuh" w:colFirst="0" w:colLast="0"/>
      <w:bookmarkStart w:id="15" w:name="_Ref18585610"/>
      <w:bookmarkStart w:id="16" w:name="_Toc33700616"/>
      <w:bookmarkEnd w:id="14"/>
      <w:r w:rsidRPr="00AD1496">
        <w:rPr>
          <w:rFonts w:asciiTheme="majorHAnsi" w:hAnsiTheme="majorHAnsi" w:cstheme="majorHAnsi"/>
        </w:rPr>
        <w:t>Institutional context</w:t>
      </w:r>
      <w:bookmarkEnd w:id="15"/>
      <w:bookmarkEnd w:id="16"/>
    </w:p>
    <w:p w14:paraId="2D89D39D" w14:textId="7EC9DDEA" w:rsidR="0046611E" w:rsidRPr="00AD1496" w:rsidRDefault="0046611E" w:rsidP="0046611E">
      <w:pPr>
        <w:pBdr>
          <w:top w:val="nil"/>
          <w:left w:val="nil"/>
          <w:bottom w:val="nil"/>
          <w:right w:val="nil"/>
          <w:between w:val="nil"/>
        </w:pBdr>
        <w:rPr>
          <w:rFonts w:asciiTheme="majorHAnsi" w:hAnsiTheme="majorHAnsi" w:cstheme="majorHAnsi"/>
        </w:rPr>
      </w:pPr>
      <w:r w:rsidRPr="00AD1496">
        <w:rPr>
          <w:rFonts w:asciiTheme="majorHAnsi" w:hAnsiTheme="majorHAnsi" w:cstheme="majorHAnsi"/>
        </w:rPr>
        <w:t xml:space="preserve">The institutional framework underpinning the NPA is complex. The complexity arises from the joint authority of the </w:t>
      </w:r>
      <w:r w:rsidRPr="00AD1496">
        <w:rPr>
          <w:rFonts w:asciiTheme="majorHAnsi" w:hAnsiTheme="majorHAnsi" w:cstheme="majorHAnsi"/>
        </w:rPr>
        <w:lastRenderedPageBreak/>
        <w:t>Commonwealth and States for water resource management, compounded by the scale and breadth of policy instruments implemented to achieve significant water reforms in the MDB.</w:t>
      </w:r>
      <w:r w:rsidR="00462B93" w:rsidRPr="00AD1496">
        <w:rPr>
          <w:rFonts w:asciiTheme="majorHAnsi" w:hAnsiTheme="majorHAnsi" w:cstheme="majorHAnsi"/>
        </w:rPr>
        <w:t xml:space="preserve"> The NPA is a negotiated agreement signed by the Commonwealth and all Basin States</w:t>
      </w:r>
      <w:r w:rsidR="00462B93" w:rsidRPr="00AD1496">
        <w:rPr>
          <w:rStyle w:val="FootnoteReference"/>
          <w:rFonts w:asciiTheme="majorHAnsi" w:hAnsiTheme="majorHAnsi" w:cstheme="majorHAnsi"/>
        </w:rPr>
        <w:footnoteReference w:id="2"/>
      </w:r>
      <w:r w:rsidR="00462B93" w:rsidRPr="00AD1496">
        <w:rPr>
          <w:rFonts w:asciiTheme="majorHAnsi" w:hAnsiTheme="majorHAnsi" w:cstheme="majorHAnsi"/>
        </w:rPr>
        <w:t xml:space="preserve"> to support the implementation of the </w:t>
      </w:r>
      <w:r w:rsidR="00063741" w:rsidRPr="00AD1496">
        <w:rPr>
          <w:rFonts w:asciiTheme="majorHAnsi" w:hAnsiTheme="majorHAnsi" w:cstheme="majorHAnsi"/>
        </w:rPr>
        <w:t xml:space="preserve">2013 </w:t>
      </w:r>
      <w:r w:rsidR="00462B93" w:rsidRPr="00AD1496">
        <w:rPr>
          <w:rFonts w:asciiTheme="majorHAnsi" w:hAnsiTheme="majorHAnsi" w:cstheme="majorHAnsi"/>
          <w:i/>
        </w:rPr>
        <w:t>Intergovernmental Agreement on Implementing Water Reform in the Murray-Darling Basin</w:t>
      </w:r>
      <w:r w:rsidR="00462B93" w:rsidRPr="00AD1496">
        <w:rPr>
          <w:rFonts w:asciiTheme="majorHAnsi" w:hAnsiTheme="majorHAnsi" w:cstheme="majorHAnsi"/>
        </w:rPr>
        <w:t xml:space="preserve"> (IGA) and, in turn, the Basin Plan </w:t>
      </w:r>
      <w:r w:rsidR="00DC3569" w:rsidRPr="00AD1496">
        <w:rPr>
          <w:rFonts w:asciiTheme="majorHAnsi" w:hAnsiTheme="majorHAnsi" w:cstheme="majorHAnsi"/>
        </w:rPr>
        <w:t xml:space="preserve">and associated </w:t>
      </w:r>
      <w:r w:rsidR="00462B93" w:rsidRPr="00AD1496">
        <w:rPr>
          <w:rFonts w:asciiTheme="majorHAnsi" w:hAnsiTheme="majorHAnsi" w:cstheme="majorHAnsi"/>
        </w:rPr>
        <w:t>reforms and initiatives.</w:t>
      </w:r>
    </w:p>
    <w:p w14:paraId="551FECE8" w14:textId="77777777" w:rsidR="009E1C22" w:rsidRPr="00AD1496" w:rsidRDefault="009E1C22" w:rsidP="00691206">
      <w:pPr>
        <w:pStyle w:val="Heading3"/>
        <w:rPr>
          <w:rFonts w:asciiTheme="majorHAnsi" w:hAnsiTheme="majorHAnsi" w:cstheme="majorHAnsi"/>
        </w:rPr>
      </w:pPr>
      <w:r w:rsidRPr="00AD1496">
        <w:rPr>
          <w:rFonts w:asciiTheme="majorHAnsi" w:hAnsiTheme="majorHAnsi" w:cstheme="majorHAnsi"/>
        </w:rPr>
        <w:t>Constitutional powers</w:t>
      </w:r>
    </w:p>
    <w:p w14:paraId="6DDDEAAB" w14:textId="7827D507" w:rsidR="000517DC" w:rsidRPr="00AD1496" w:rsidRDefault="000517DC" w:rsidP="000517DC">
      <w:pPr>
        <w:rPr>
          <w:rFonts w:asciiTheme="majorHAnsi" w:hAnsiTheme="majorHAnsi" w:cstheme="majorHAnsi"/>
          <w:lang w:eastAsia="ja-JP"/>
        </w:rPr>
      </w:pPr>
      <w:r w:rsidRPr="00AD1496">
        <w:rPr>
          <w:rFonts w:asciiTheme="majorHAnsi" w:hAnsiTheme="majorHAnsi" w:cstheme="majorHAnsi"/>
          <w:lang w:eastAsia="ja-JP"/>
        </w:rPr>
        <w:t>Under the Constitution, the Commonwealth Parliament does not have an express power to legislate in respect of water management and use in Australia. However, the Commonwealth has been able to legislate in respect of wa</w:t>
      </w:r>
      <w:r w:rsidRPr="00AD1496">
        <w:rPr>
          <w:rFonts w:asciiTheme="majorHAnsi" w:hAnsiTheme="majorHAnsi" w:cstheme="majorHAnsi"/>
          <w:lang w:eastAsia="ja-JP"/>
        </w:rPr>
        <w:lastRenderedPageBreak/>
        <w:t xml:space="preserve">ter resources in reliance on a range of constitutional powers. </w:t>
      </w:r>
      <w:r w:rsidRPr="00AD1496">
        <w:rPr>
          <w:rFonts w:asciiTheme="majorHAnsi" w:hAnsiTheme="majorHAnsi" w:cstheme="majorHAnsi"/>
        </w:rPr>
        <w:t>In relation to the Water Act as originally enacted in 2007, the most significant of these were</w:t>
      </w:r>
      <w:r w:rsidRPr="00AD1496">
        <w:rPr>
          <w:rFonts w:asciiTheme="majorHAnsi" w:hAnsiTheme="majorHAnsi" w:cstheme="majorHAnsi"/>
          <w:lang w:eastAsia="ja-JP"/>
        </w:rPr>
        <w:t>:</w:t>
      </w:r>
    </w:p>
    <w:p w14:paraId="75808972" w14:textId="77777777" w:rsidR="000517DC" w:rsidRPr="00AD1496" w:rsidRDefault="000517DC" w:rsidP="008D175D">
      <w:pPr>
        <w:pStyle w:val="ListParagraph"/>
        <w:numPr>
          <w:ilvl w:val="0"/>
          <w:numId w:val="29"/>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The external affairs power (s 51(xxix)) of the Constitution, in implementation of Australia’s obligations under international law, including the Convention on Biological Diversity and the Ramsar Convention on Wetlands of International Importance, and other treaties;</w:t>
      </w:r>
    </w:p>
    <w:p w14:paraId="5F25C6D5" w14:textId="77777777" w:rsidR="000517DC" w:rsidRPr="00AD1496" w:rsidRDefault="000517DC" w:rsidP="008D175D">
      <w:pPr>
        <w:pStyle w:val="ListParagraph"/>
        <w:numPr>
          <w:ilvl w:val="0"/>
          <w:numId w:val="29"/>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The corporations power (s 51(xx)), in relation to the regulation of the activities of trading or financial corporations concerning water and water access entitlements;</w:t>
      </w:r>
    </w:p>
    <w:p w14:paraId="4749D34A" w14:textId="77777777" w:rsidR="000517DC" w:rsidRPr="00AD1496" w:rsidRDefault="000517DC" w:rsidP="008D175D">
      <w:pPr>
        <w:pStyle w:val="ListParagraph"/>
        <w:numPr>
          <w:ilvl w:val="0"/>
          <w:numId w:val="29"/>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The interstate trade and commerce power (s 51(i)), in relation to the promotion and regulation of interstate trade in water access entitlements; and</w:t>
      </w:r>
    </w:p>
    <w:p w14:paraId="763B85A9" w14:textId="4FFE43BD" w:rsidR="000517DC" w:rsidRPr="00AD1496" w:rsidRDefault="000517DC" w:rsidP="008D175D">
      <w:pPr>
        <w:pStyle w:val="ListParagraph"/>
        <w:numPr>
          <w:ilvl w:val="0"/>
          <w:numId w:val="29"/>
        </w:numPr>
        <w:spacing w:line="240" w:lineRule="auto"/>
        <w:ind w:left="714" w:hanging="357"/>
        <w:contextualSpacing w:val="0"/>
        <w:rPr>
          <w:rFonts w:asciiTheme="majorHAnsi" w:hAnsiTheme="majorHAnsi" w:cstheme="majorHAnsi"/>
          <w:lang w:eastAsia="ja-JP"/>
        </w:rPr>
      </w:pPr>
      <w:r w:rsidRPr="00AD1496">
        <w:rPr>
          <w:rFonts w:asciiTheme="majorHAnsi" w:hAnsiTheme="majorHAnsi" w:cstheme="majorHAnsi"/>
          <w:lang w:eastAsia="ja-JP"/>
        </w:rPr>
        <w:t>The powers relating to meteorological observations (s 51(viii), and census and statistics (s</w:t>
      </w:r>
      <w:r w:rsidR="00901671" w:rsidRPr="00AD1496">
        <w:rPr>
          <w:rFonts w:asciiTheme="majorHAnsi" w:hAnsiTheme="majorHAnsi" w:cstheme="majorHAnsi"/>
          <w:lang w:eastAsia="ja-JP"/>
        </w:rPr>
        <w:t xml:space="preserve"> </w:t>
      </w:r>
      <w:r w:rsidRPr="00AD1496">
        <w:rPr>
          <w:rFonts w:asciiTheme="majorHAnsi" w:hAnsiTheme="majorHAnsi" w:cstheme="majorHAnsi"/>
          <w:lang w:eastAsia="ja-JP"/>
        </w:rPr>
        <w:t>51(xi)), which support the Bureau of Meteorology’s water information functions.</w:t>
      </w:r>
    </w:p>
    <w:p w14:paraId="6483A50B" w14:textId="77777777" w:rsidR="000517DC" w:rsidRPr="00AD1496" w:rsidRDefault="000517DC" w:rsidP="000517DC">
      <w:pPr>
        <w:rPr>
          <w:rFonts w:asciiTheme="majorHAnsi" w:hAnsiTheme="majorHAnsi" w:cstheme="majorHAnsi"/>
          <w:lang w:eastAsia="ja-JP"/>
        </w:rPr>
      </w:pPr>
      <w:r w:rsidRPr="00AD1496">
        <w:rPr>
          <w:rFonts w:asciiTheme="majorHAnsi" w:hAnsiTheme="majorHAnsi" w:cstheme="majorHAnsi"/>
          <w:lang w:eastAsia="ja-JP"/>
        </w:rPr>
        <w:t xml:space="preserve">Following the 2008 referrals of power by the States, provisions were introduced by the </w:t>
      </w:r>
      <w:r w:rsidRPr="00AD1496">
        <w:rPr>
          <w:rFonts w:asciiTheme="majorHAnsi" w:hAnsiTheme="majorHAnsi" w:cstheme="majorHAnsi"/>
          <w:i/>
          <w:iCs/>
          <w:lang w:eastAsia="ja-JP"/>
        </w:rPr>
        <w:t xml:space="preserve">Water Amendment Act 2008 </w:t>
      </w:r>
      <w:r w:rsidRPr="00AD1496">
        <w:rPr>
          <w:rFonts w:asciiTheme="majorHAnsi" w:hAnsiTheme="majorHAnsi" w:cstheme="majorHAnsi"/>
          <w:lang w:eastAsia="ja-JP"/>
        </w:rPr>
        <w:lastRenderedPageBreak/>
        <w:t xml:space="preserve">that also rely </w:t>
      </w:r>
      <w:r w:rsidRPr="00AD1496">
        <w:rPr>
          <w:rFonts w:asciiTheme="majorHAnsi" w:hAnsiTheme="majorHAnsi" w:cstheme="majorHAnsi"/>
        </w:rPr>
        <w:t>on s 51(xxxvii) of the Constitution. This paragraph provides that the Commonwealth Parliament may make laws on matters referred to it by the Parliament of any State, but such laws can extend only to the States by whose Parliaments the matter is referred or that afterwards adopt the law.</w:t>
      </w:r>
    </w:p>
    <w:p w14:paraId="677E0693" w14:textId="6F6B5A3D" w:rsidR="009E1C22" w:rsidRPr="00AD1496" w:rsidRDefault="000517DC" w:rsidP="009E1C22">
      <w:pPr>
        <w:pStyle w:val="Heading3"/>
        <w:rPr>
          <w:rFonts w:asciiTheme="majorHAnsi" w:hAnsiTheme="majorHAnsi" w:cstheme="majorHAnsi"/>
        </w:rPr>
      </w:pPr>
      <w:r w:rsidRPr="00AD1496" w:rsidDel="000517DC">
        <w:rPr>
          <w:rFonts w:asciiTheme="majorHAnsi" w:hAnsiTheme="majorHAnsi" w:cstheme="majorHAnsi"/>
        </w:rPr>
        <w:t xml:space="preserve"> </w:t>
      </w:r>
      <w:r w:rsidR="009E1C22" w:rsidRPr="00AD1496">
        <w:rPr>
          <w:rFonts w:asciiTheme="majorHAnsi" w:hAnsiTheme="majorHAnsi" w:cstheme="majorHAnsi"/>
        </w:rPr>
        <w:t>Water Act 2007</w:t>
      </w:r>
    </w:p>
    <w:p w14:paraId="32B798B5" w14:textId="1161F2AB" w:rsidR="002F1C2B" w:rsidRPr="00AD1496" w:rsidRDefault="002F1C2B" w:rsidP="002F1C2B">
      <w:pPr>
        <w:rPr>
          <w:rFonts w:asciiTheme="majorHAnsi" w:hAnsiTheme="majorHAnsi" w:cstheme="majorHAnsi"/>
          <w:lang w:eastAsia="ja-JP"/>
        </w:rPr>
      </w:pPr>
      <w:r w:rsidRPr="00AD1496">
        <w:rPr>
          <w:rFonts w:asciiTheme="majorHAnsi" w:hAnsiTheme="majorHAnsi" w:cstheme="majorHAnsi"/>
          <w:lang w:eastAsia="ja-JP"/>
        </w:rPr>
        <w:t xml:space="preserve">The Water Act enables the Commonwealth, in conjunction with Basin states, to manage water resources within the Murray-Darling Basin in the national interest. Basin </w:t>
      </w:r>
      <w:r w:rsidR="00901671" w:rsidRPr="00AD1496">
        <w:rPr>
          <w:rFonts w:asciiTheme="majorHAnsi" w:hAnsiTheme="majorHAnsi" w:cstheme="majorHAnsi"/>
          <w:lang w:eastAsia="ja-JP"/>
        </w:rPr>
        <w:t xml:space="preserve">States </w:t>
      </w:r>
      <w:r w:rsidRPr="00AD1496">
        <w:rPr>
          <w:rFonts w:asciiTheme="majorHAnsi" w:hAnsiTheme="majorHAnsi" w:cstheme="majorHAnsi"/>
          <w:lang w:eastAsia="ja-JP"/>
        </w:rPr>
        <w:t xml:space="preserve">continue to manage and regulate water in the Basin through their own policies and legislation in a manner consistent with the Water Act and the Murray-Darling Basin Plan. </w:t>
      </w:r>
    </w:p>
    <w:p w14:paraId="486A1904" w14:textId="77777777" w:rsidR="002F1C2B" w:rsidRPr="00AD1496" w:rsidRDefault="002F1C2B" w:rsidP="002F1C2B">
      <w:pPr>
        <w:rPr>
          <w:rFonts w:asciiTheme="majorHAnsi" w:hAnsiTheme="majorHAnsi" w:cstheme="majorHAnsi"/>
          <w:lang w:eastAsia="ja-JP"/>
        </w:rPr>
      </w:pPr>
      <w:r w:rsidRPr="00AD1496">
        <w:rPr>
          <w:rFonts w:asciiTheme="majorHAnsi" w:hAnsiTheme="majorHAnsi" w:cstheme="majorHAnsi"/>
          <w:lang w:eastAsia="ja-JP"/>
        </w:rPr>
        <w:t>In particular, the Water Act:</w:t>
      </w:r>
    </w:p>
    <w:p w14:paraId="294E9050" w14:textId="77777777" w:rsidR="002F1C2B" w:rsidRPr="00AD1496" w:rsidRDefault="002F1C2B" w:rsidP="008D175D">
      <w:pPr>
        <w:pStyle w:val="ListParagraph"/>
        <w:numPr>
          <w:ilvl w:val="0"/>
          <w:numId w:val="30"/>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 xml:space="preserve">establishes the MDBA with the functions and powers, including enforcement powers, needed to ensure that </w:t>
      </w:r>
      <w:r w:rsidRPr="00AD1496">
        <w:rPr>
          <w:rFonts w:asciiTheme="majorHAnsi" w:hAnsiTheme="majorHAnsi" w:cstheme="majorHAnsi"/>
          <w:lang w:eastAsia="ja-JP"/>
        </w:rPr>
        <w:lastRenderedPageBreak/>
        <w:t>Basin water resources are managed in an integrated and sustainable way;</w:t>
      </w:r>
    </w:p>
    <w:p w14:paraId="46030914" w14:textId="10EE9D9F" w:rsidR="002F1C2B" w:rsidRPr="00AD1496" w:rsidRDefault="002F1C2B" w:rsidP="008D175D">
      <w:pPr>
        <w:pStyle w:val="ListParagraph"/>
        <w:numPr>
          <w:ilvl w:val="0"/>
          <w:numId w:val="30"/>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requires the MDBA to prepare the Murray-Darling Basin Plan—a strategic plan for the integrated and sustainable management of water resources in the Murray-Darling Basin—for adoption by the Commonwealth Minister;</w:t>
      </w:r>
    </w:p>
    <w:p w14:paraId="7D80310F" w14:textId="77777777" w:rsidR="002F1C2B" w:rsidRPr="00AD1496" w:rsidRDefault="002F1C2B" w:rsidP="008D175D">
      <w:pPr>
        <w:pStyle w:val="ListParagraph"/>
        <w:numPr>
          <w:ilvl w:val="0"/>
          <w:numId w:val="30"/>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establishes a Commonwealth Environmental Water Holder to manage the Commonwealth's environmental water to protect and restore the environmental assets of the Murray-Darling Basin, and outside the Murray-Darling Basin where the Commonwealth owns water;</w:t>
      </w:r>
    </w:p>
    <w:p w14:paraId="39E702C3" w14:textId="77777777" w:rsidR="002F1C2B" w:rsidRPr="00AD1496" w:rsidRDefault="002F1C2B" w:rsidP="008D175D">
      <w:pPr>
        <w:pStyle w:val="ListParagraph"/>
        <w:numPr>
          <w:ilvl w:val="0"/>
          <w:numId w:val="30"/>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provides the ACCC with a key role in developing and enforcing water charge and water market rules along the lines agreed in the National Water Initiative;</w:t>
      </w:r>
    </w:p>
    <w:p w14:paraId="6E61C57C" w14:textId="77777777" w:rsidR="002F1C2B" w:rsidRPr="00AD1496" w:rsidRDefault="002F1C2B" w:rsidP="008D175D">
      <w:pPr>
        <w:pStyle w:val="ListParagraph"/>
        <w:numPr>
          <w:ilvl w:val="0"/>
          <w:numId w:val="30"/>
        </w:numPr>
        <w:spacing w:before="120" w:after="0" w:line="240" w:lineRule="auto"/>
        <w:rPr>
          <w:rFonts w:asciiTheme="majorHAnsi" w:hAnsiTheme="majorHAnsi" w:cstheme="majorHAnsi"/>
          <w:lang w:eastAsia="ja-JP"/>
        </w:rPr>
      </w:pPr>
      <w:r w:rsidRPr="00AD1496">
        <w:rPr>
          <w:rFonts w:asciiTheme="majorHAnsi" w:hAnsiTheme="majorHAnsi" w:cstheme="majorHAnsi"/>
          <w:lang w:eastAsia="ja-JP"/>
        </w:rPr>
        <w:t xml:space="preserve">gives the Bureau of Meteorology water information functions that are in addition to its existing functions under the </w:t>
      </w:r>
      <w:r w:rsidRPr="00AD1496">
        <w:rPr>
          <w:rFonts w:asciiTheme="majorHAnsi" w:hAnsiTheme="majorHAnsi" w:cstheme="majorHAnsi"/>
          <w:i/>
          <w:iCs/>
          <w:lang w:eastAsia="ja-JP"/>
        </w:rPr>
        <w:t>Meteorology Act 1955</w:t>
      </w:r>
      <w:r w:rsidRPr="00AD1496">
        <w:rPr>
          <w:rFonts w:asciiTheme="majorHAnsi" w:hAnsiTheme="majorHAnsi" w:cstheme="majorHAnsi"/>
          <w:lang w:eastAsia="ja-JP"/>
        </w:rPr>
        <w:t>; and</w:t>
      </w:r>
    </w:p>
    <w:p w14:paraId="37E20D4D" w14:textId="77777777" w:rsidR="002F1C2B" w:rsidRPr="00AD1496" w:rsidRDefault="002F1C2B" w:rsidP="008D175D">
      <w:pPr>
        <w:pStyle w:val="ListParagraph"/>
        <w:numPr>
          <w:ilvl w:val="0"/>
          <w:numId w:val="30"/>
        </w:numPr>
        <w:spacing w:line="240" w:lineRule="auto"/>
        <w:ind w:left="714" w:hanging="357"/>
        <w:contextualSpacing w:val="0"/>
        <w:rPr>
          <w:rFonts w:asciiTheme="majorHAnsi" w:hAnsiTheme="majorHAnsi" w:cstheme="majorHAnsi"/>
          <w:lang w:eastAsia="ja-JP"/>
        </w:rPr>
      </w:pPr>
      <w:r w:rsidRPr="00AD1496">
        <w:rPr>
          <w:rFonts w:asciiTheme="majorHAnsi" w:hAnsiTheme="majorHAnsi" w:cstheme="majorHAnsi"/>
          <w:lang w:eastAsia="ja-JP"/>
        </w:rPr>
        <w:t xml:space="preserve">gives the Productivity Commission a role in reporting on the effectiveness of the implementation of the Murray-Darling Basin Plan and water resource plans </w:t>
      </w:r>
      <w:r w:rsidRPr="00AD1496">
        <w:rPr>
          <w:rFonts w:asciiTheme="majorHAnsi" w:hAnsiTheme="majorHAnsi" w:cstheme="majorHAnsi"/>
          <w:lang w:eastAsia="ja-JP"/>
        </w:rPr>
        <w:lastRenderedPageBreak/>
        <w:t>and the progress towards achieving the objectives and outcomes of the National Water Initiative.</w:t>
      </w:r>
    </w:p>
    <w:p w14:paraId="76250222" w14:textId="77777777" w:rsidR="002F1C2B" w:rsidRPr="00AD1496" w:rsidRDefault="002F1C2B" w:rsidP="002F1C2B">
      <w:pPr>
        <w:rPr>
          <w:rFonts w:asciiTheme="majorHAnsi" w:hAnsiTheme="majorHAnsi" w:cstheme="majorHAnsi"/>
          <w:lang w:eastAsia="ja-JP"/>
        </w:rPr>
      </w:pPr>
      <w:r w:rsidRPr="00AD1496">
        <w:rPr>
          <w:rFonts w:asciiTheme="majorHAnsi" w:hAnsiTheme="majorHAnsi" w:cstheme="majorHAnsi"/>
          <w:lang w:eastAsia="ja-JP"/>
        </w:rPr>
        <w:t xml:space="preserve">In addition to the Water Act, the legislative framework for managing the Murray-Darling Basin includes the Murray-Darling Basin Plan, the </w:t>
      </w:r>
      <w:r w:rsidRPr="00AD1496">
        <w:rPr>
          <w:rFonts w:asciiTheme="majorHAnsi" w:hAnsiTheme="majorHAnsi" w:cstheme="majorHAnsi"/>
          <w:i/>
          <w:iCs/>
          <w:lang w:eastAsia="ja-JP"/>
        </w:rPr>
        <w:t>Water Regulations 2008</w:t>
      </w:r>
      <w:r w:rsidRPr="00AD1496">
        <w:rPr>
          <w:rFonts w:asciiTheme="majorHAnsi" w:hAnsiTheme="majorHAnsi" w:cstheme="majorHAnsi"/>
          <w:lang w:eastAsia="ja-JP"/>
        </w:rPr>
        <w:t xml:space="preserve">, and water charge and water market rules. </w:t>
      </w:r>
    </w:p>
    <w:p w14:paraId="050C9102" w14:textId="4267532C" w:rsidR="009E1C22" w:rsidRPr="00AD1496" w:rsidRDefault="002F1C2B" w:rsidP="009E1C22">
      <w:pPr>
        <w:pStyle w:val="Heading3"/>
        <w:rPr>
          <w:rFonts w:asciiTheme="majorHAnsi" w:hAnsiTheme="majorHAnsi" w:cstheme="majorHAnsi"/>
        </w:rPr>
      </w:pPr>
      <w:r w:rsidRPr="00AD1496" w:rsidDel="002F1C2B">
        <w:rPr>
          <w:rFonts w:asciiTheme="majorHAnsi" w:hAnsiTheme="majorHAnsi" w:cstheme="majorHAnsi"/>
        </w:rPr>
        <w:t xml:space="preserve"> </w:t>
      </w:r>
      <w:r w:rsidR="009E1C22" w:rsidRPr="00AD1496">
        <w:rPr>
          <w:rFonts w:asciiTheme="majorHAnsi" w:hAnsiTheme="majorHAnsi" w:cstheme="majorHAnsi"/>
        </w:rPr>
        <w:t>Water recovery programs</w:t>
      </w:r>
    </w:p>
    <w:p w14:paraId="4E23AC14" w14:textId="3F381CB3" w:rsidR="009E1C22" w:rsidRPr="00AD1496" w:rsidRDefault="009E1C22" w:rsidP="009E1C22">
      <w:pPr>
        <w:rPr>
          <w:rFonts w:asciiTheme="majorHAnsi" w:hAnsiTheme="majorHAnsi" w:cstheme="majorHAnsi"/>
        </w:rPr>
      </w:pPr>
      <w:r w:rsidRPr="00AD1496">
        <w:rPr>
          <w:rFonts w:asciiTheme="majorHAnsi" w:hAnsiTheme="majorHAnsi" w:cstheme="majorHAnsi"/>
        </w:rPr>
        <w:t xml:space="preserve">The Australian Government </w:t>
      </w:r>
      <w:r w:rsidR="00D25CE8" w:rsidRPr="00AD1496">
        <w:rPr>
          <w:rFonts w:asciiTheme="majorHAnsi" w:hAnsiTheme="majorHAnsi" w:cstheme="majorHAnsi"/>
        </w:rPr>
        <w:t xml:space="preserve">manages or </w:t>
      </w:r>
      <w:r w:rsidR="002F5FE1" w:rsidRPr="00AD1496">
        <w:rPr>
          <w:rFonts w:asciiTheme="majorHAnsi" w:hAnsiTheme="majorHAnsi" w:cstheme="majorHAnsi"/>
        </w:rPr>
        <w:t xml:space="preserve">has managed </w:t>
      </w:r>
      <w:r w:rsidRPr="00AD1496">
        <w:rPr>
          <w:rFonts w:asciiTheme="majorHAnsi" w:hAnsiTheme="majorHAnsi" w:cstheme="majorHAnsi"/>
        </w:rPr>
        <w:t xml:space="preserve">a range of </w:t>
      </w:r>
      <w:r w:rsidR="00D25CE8" w:rsidRPr="00AD1496">
        <w:rPr>
          <w:rFonts w:asciiTheme="majorHAnsi" w:hAnsiTheme="majorHAnsi" w:cstheme="majorHAnsi"/>
        </w:rPr>
        <w:t xml:space="preserve">on and off-farm </w:t>
      </w:r>
      <w:r w:rsidRPr="00AD1496">
        <w:rPr>
          <w:rFonts w:asciiTheme="majorHAnsi" w:hAnsiTheme="majorHAnsi" w:cstheme="majorHAnsi"/>
        </w:rPr>
        <w:t xml:space="preserve">irrigation infrastructure improvement programs and a market‑based water buyback program (now capped </w:t>
      </w:r>
      <w:r w:rsidR="00015B3D" w:rsidRPr="00AD1496">
        <w:rPr>
          <w:rFonts w:asciiTheme="majorHAnsi" w:hAnsiTheme="majorHAnsi" w:cstheme="majorHAnsi"/>
        </w:rPr>
        <w:t>at 1500 GL</w:t>
      </w:r>
      <w:r w:rsidR="0046459B" w:rsidRPr="00AD1496">
        <w:rPr>
          <w:rStyle w:val="FootnoteReference"/>
          <w:rFonts w:asciiTheme="majorHAnsi" w:hAnsiTheme="majorHAnsi" w:cstheme="majorHAnsi"/>
        </w:rPr>
        <w:footnoteReference w:id="3"/>
      </w:r>
      <w:r w:rsidRPr="00AD1496">
        <w:rPr>
          <w:rFonts w:asciiTheme="majorHAnsi" w:hAnsiTheme="majorHAnsi" w:cstheme="majorHAnsi"/>
        </w:rPr>
        <w:t>), designed to recover water for the environment.</w:t>
      </w:r>
    </w:p>
    <w:p w14:paraId="09B39226" w14:textId="3ACE02C4" w:rsidR="00D25CE8" w:rsidRPr="00AD1496" w:rsidRDefault="00D25CE8" w:rsidP="00D25CE8">
      <w:pPr>
        <w:rPr>
          <w:rFonts w:asciiTheme="majorHAnsi" w:hAnsiTheme="majorHAnsi" w:cstheme="majorHAnsi"/>
        </w:rPr>
      </w:pPr>
      <w:r w:rsidRPr="00AD1496">
        <w:rPr>
          <w:rFonts w:asciiTheme="majorHAnsi" w:hAnsiTheme="majorHAnsi" w:cstheme="majorHAnsi"/>
        </w:rPr>
        <w:lastRenderedPageBreak/>
        <w:t>States also manage or have managed on and off-farm water recovery programs, some of which are still in progress but nearing completion.</w:t>
      </w:r>
    </w:p>
    <w:p w14:paraId="498D5781" w14:textId="7C5F5AFD" w:rsidR="009E1C22" w:rsidRPr="00AD1496" w:rsidRDefault="009E1C22" w:rsidP="009E1C22">
      <w:pPr>
        <w:rPr>
          <w:rFonts w:asciiTheme="majorHAnsi" w:hAnsiTheme="majorHAnsi" w:cstheme="majorHAnsi"/>
        </w:rPr>
      </w:pPr>
      <w:r w:rsidRPr="00AD1496">
        <w:rPr>
          <w:rFonts w:asciiTheme="majorHAnsi" w:hAnsiTheme="majorHAnsi" w:cstheme="majorHAnsi"/>
        </w:rPr>
        <w:t>Water entitlements recovered through these programs and their annual allocations are managed by the</w:t>
      </w:r>
      <w:r w:rsidR="00952BF8">
        <w:rPr>
          <w:rFonts w:asciiTheme="majorHAnsi" w:hAnsiTheme="majorHAnsi" w:cstheme="majorHAnsi"/>
        </w:rPr>
        <w:t xml:space="preserve"> Commonwealth Environmental Water Holder</w:t>
      </w:r>
      <w:r w:rsidRPr="00AD1496">
        <w:rPr>
          <w:rFonts w:asciiTheme="majorHAnsi" w:hAnsiTheme="majorHAnsi" w:cstheme="majorHAnsi"/>
        </w:rPr>
        <w:t>.</w:t>
      </w:r>
    </w:p>
    <w:p w14:paraId="4E62BA57" w14:textId="3EA05A21" w:rsidR="009E1C22" w:rsidRPr="00AD1496" w:rsidRDefault="00181AE8" w:rsidP="00D25CE8">
      <w:pPr>
        <w:pStyle w:val="Heading3"/>
        <w:rPr>
          <w:rFonts w:asciiTheme="majorHAnsi" w:hAnsiTheme="majorHAnsi" w:cstheme="majorHAnsi"/>
        </w:rPr>
      </w:pPr>
      <w:r w:rsidRPr="00AD1496">
        <w:rPr>
          <w:rFonts w:asciiTheme="majorHAnsi" w:hAnsiTheme="majorHAnsi" w:cstheme="majorHAnsi"/>
        </w:rPr>
        <w:t xml:space="preserve">The Sustainable Diversion Limit </w:t>
      </w:r>
      <w:r w:rsidR="00AA6FB0" w:rsidRPr="00AD1496">
        <w:rPr>
          <w:rFonts w:asciiTheme="majorHAnsi" w:hAnsiTheme="majorHAnsi" w:cstheme="majorHAnsi"/>
        </w:rPr>
        <w:t xml:space="preserve">adjustment </w:t>
      </w:r>
      <w:r w:rsidR="009E1C22" w:rsidRPr="00AD1496">
        <w:rPr>
          <w:rFonts w:asciiTheme="majorHAnsi" w:hAnsiTheme="majorHAnsi" w:cstheme="majorHAnsi"/>
        </w:rPr>
        <w:t>mechanism</w:t>
      </w:r>
    </w:p>
    <w:p w14:paraId="3C938A93" w14:textId="0D0E291D" w:rsidR="009E1C22" w:rsidRPr="00AD1496" w:rsidRDefault="009E1C22" w:rsidP="009E1C22">
      <w:pPr>
        <w:rPr>
          <w:rFonts w:asciiTheme="majorHAnsi" w:hAnsiTheme="majorHAnsi" w:cstheme="majorHAnsi"/>
        </w:rPr>
      </w:pPr>
      <w:r w:rsidRPr="00AD1496">
        <w:rPr>
          <w:rFonts w:asciiTheme="majorHAnsi" w:hAnsiTheme="majorHAnsi" w:cstheme="majorHAnsi"/>
        </w:rPr>
        <w:t>A</w:t>
      </w:r>
      <w:r w:rsidR="0035420D" w:rsidRPr="00AD1496">
        <w:rPr>
          <w:rFonts w:asciiTheme="majorHAnsi" w:hAnsiTheme="majorHAnsi" w:cstheme="majorHAnsi"/>
        </w:rPr>
        <w:t xml:space="preserve"> SDL</w:t>
      </w:r>
      <w:r w:rsidRPr="00AD1496">
        <w:rPr>
          <w:rFonts w:asciiTheme="majorHAnsi" w:hAnsiTheme="majorHAnsi" w:cstheme="majorHAnsi"/>
        </w:rPr>
        <w:t xml:space="preserve"> adjustment mechanism was included in the Basin Plan to </w:t>
      </w:r>
      <w:r w:rsidR="004E2E85" w:rsidRPr="00AD1496">
        <w:rPr>
          <w:rFonts w:asciiTheme="majorHAnsi" w:hAnsiTheme="majorHAnsi" w:cstheme="majorHAnsi"/>
        </w:rPr>
        <w:t xml:space="preserve">provide flexibility and </w:t>
      </w:r>
      <w:r w:rsidRPr="00AD1496">
        <w:rPr>
          <w:rFonts w:asciiTheme="majorHAnsi" w:hAnsiTheme="majorHAnsi" w:cstheme="majorHAnsi"/>
        </w:rPr>
        <w:t xml:space="preserve">allow for </w:t>
      </w:r>
      <w:r w:rsidR="004E2E85" w:rsidRPr="00AD1496">
        <w:rPr>
          <w:rFonts w:asciiTheme="majorHAnsi" w:hAnsiTheme="majorHAnsi" w:cstheme="majorHAnsi"/>
        </w:rPr>
        <w:t xml:space="preserve">enhanced </w:t>
      </w:r>
      <w:r w:rsidRPr="00AD1496">
        <w:rPr>
          <w:rFonts w:asciiTheme="majorHAnsi" w:hAnsiTheme="majorHAnsi" w:cstheme="majorHAnsi"/>
        </w:rPr>
        <w:t>social, economic and environmental outcomes than would otherwise be achieved by the Basin Plan. The mechanism provides for:</w:t>
      </w:r>
    </w:p>
    <w:p w14:paraId="0338039F" w14:textId="62BDF2B9" w:rsidR="009E1C22" w:rsidRPr="00AD1496" w:rsidRDefault="00A14770" w:rsidP="009E1C22">
      <w:pPr>
        <w:pStyle w:val="ListBullet"/>
        <w:rPr>
          <w:rFonts w:asciiTheme="majorHAnsi" w:hAnsiTheme="majorHAnsi" w:cstheme="majorHAnsi"/>
        </w:rPr>
      </w:pPr>
      <w:r w:rsidRPr="00AD1496">
        <w:rPr>
          <w:rFonts w:asciiTheme="majorHAnsi" w:hAnsiTheme="majorHAnsi" w:cstheme="majorHAnsi"/>
        </w:rPr>
        <w:t xml:space="preserve">less water recovery where </w:t>
      </w:r>
      <w:r w:rsidR="00015B3D" w:rsidRPr="00AD1496">
        <w:rPr>
          <w:rFonts w:asciiTheme="majorHAnsi" w:hAnsiTheme="majorHAnsi" w:cstheme="majorHAnsi"/>
        </w:rPr>
        <w:t xml:space="preserve">equivalent </w:t>
      </w:r>
      <w:r w:rsidRPr="00AD1496">
        <w:rPr>
          <w:rFonts w:asciiTheme="majorHAnsi" w:hAnsiTheme="majorHAnsi" w:cstheme="majorHAnsi"/>
        </w:rPr>
        <w:t xml:space="preserve">environmental outcomes can be achieved instead through </w:t>
      </w:r>
      <w:r w:rsidR="009E1C22" w:rsidRPr="00AD1496">
        <w:rPr>
          <w:rFonts w:asciiTheme="majorHAnsi" w:hAnsiTheme="majorHAnsi" w:cstheme="majorHAnsi"/>
        </w:rPr>
        <w:t xml:space="preserve">measures that improve </w:t>
      </w:r>
      <w:r w:rsidR="004E2E85" w:rsidRPr="00AD1496">
        <w:rPr>
          <w:rFonts w:asciiTheme="majorHAnsi" w:hAnsiTheme="majorHAnsi" w:cstheme="majorHAnsi"/>
        </w:rPr>
        <w:t xml:space="preserve">consumptive water </w:t>
      </w:r>
      <w:r w:rsidR="009E1C22" w:rsidRPr="00AD1496">
        <w:rPr>
          <w:rFonts w:asciiTheme="majorHAnsi" w:hAnsiTheme="majorHAnsi" w:cstheme="majorHAnsi"/>
        </w:rPr>
        <w:t>supply</w:t>
      </w:r>
      <w:r w:rsidR="001E5100" w:rsidRPr="00AD1496">
        <w:rPr>
          <w:rFonts w:asciiTheme="majorHAnsi" w:hAnsiTheme="majorHAnsi" w:cstheme="majorHAnsi"/>
        </w:rPr>
        <w:t xml:space="preserve"> (or constraints measures that contribute to supply)</w:t>
      </w:r>
      <w:r w:rsidR="009E1C22" w:rsidRPr="00AD1496">
        <w:rPr>
          <w:rFonts w:asciiTheme="majorHAnsi" w:hAnsiTheme="majorHAnsi" w:cstheme="majorHAnsi"/>
        </w:rPr>
        <w:t xml:space="preserve">—such as </w:t>
      </w:r>
      <w:r w:rsidR="009E1C22" w:rsidRPr="00AD1496">
        <w:rPr>
          <w:rFonts w:asciiTheme="majorHAnsi" w:hAnsiTheme="majorHAnsi" w:cstheme="majorHAnsi"/>
          <w:highlight w:val="white"/>
        </w:rPr>
        <w:t xml:space="preserve">reduced </w:t>
      </w:r>
      <w:r w:rsidR="009E1C22" w:rsidRPr="00AD1496">
        <w:rPr>
          <w:rFonts w:asciiTheme="majorHAnsi" w:hAnsiTheme="majorHAnsi" w:cstheme="majorHAnsi"/>
          <w:highlight w:val="white"/>
        </w:rPr>
        <w:lastRenderedPageBreak/>
        <w:t>evaporation at water storages, improving river operation rules, or using water infrastructure more efficiently;</w:t>
      </w:r>
    </w:p>
    <w:p w14:paraId="16EF928D" w14:textId="2FC3622C" w:rsidR="009E1C22" w:rsidRPr="00AD1496" w:rsidRDefault="00A14770" w:rsidP="009E1C22">
      <w:pPr>
        <w:pStyle w:val="ListBullet"/>
        <w:rPr>
          <w:rFonts w:asciiTheme="majorHAnsi" w:hAnsiTheme="majorHAnsi" w:cstheme="majorHAnsi"/>
        </w:rPr>
      </w:pPr>
      <w:r w:rsidRPr="00AD1496">
        <w:rPr>
          <w:rFonts w:asciiTheme="majorHAnsi" w:hAnsiTheme="majorHAnsi" w:cstheme="majorHAnsi"/>
          <w:highlight w:val="white"/>
        </w:rPr>
        <w:t xml:space="preserve">the removal or easing of </w:t>
      </w:r>
      <w:r w:rsidR="004E2E85" w:rsidRPr="00AD1496">
        <w:rPr>
          <w:rFonts w:asciiTheme="majorHAnsi" w:hAnsiTheme="majorHAnsi" w:cstheme="majorHAnsi"/>
          <w:highlight w:val="white"/>
        </w:rPr>
        <w:t xml:space="preserve">physical or other </w:t>
      </w:r>
      <w:r w:rsidR="009E1C22" w:rsidRPr="00AD1496">
        <w:rPr>
          <w:rFonts w:asciiTheme="majorHAnsi" w:hAnsiTheme="majorHAnsi" w:cstheme="majorHAnsi"/>
          <w:highlight w:val="white"/>
        </w:rPr>
        <w:t xml:space="preserve">constraints </w:t>
      </w:r>
      <w:r w:rsidR="00015B3D" w:rsidRPr="00AD1496">
        <w:rPr>
          <w:rFonts w:asciiTheme="majorHAnsi" w:hAnsiTheme="majorHAnsi" w:cstheme="majorHAnsi"/>
          <w:highlight w:val="white"/>
        </w:rPr>
        <w:t xml:space="preserve">on the capacity to </w:t>
      </w:r>
      <w:r w:rsidR="009E1C22" w:rsidRPr="00AD1496">
        <w:rPr>
          <w:rFonts w:asciiTheme="majorHAnsi" w:hAnsiTheme="majorHAnsi" w:cstheme="majorHAnsi"/>
          <w:highlight w:val="white"/>
        </w:rPr>
        <w:t xml:space="preserve">deliver environmental water; and </w:t>
      </w:r>
    </w:p>
    <w:p w14:paraId="7FD5F001" w14:textId="7599FC03" w:rsidR="009E1C22" w:rsidRPr="00AD1496" w:rsidRDefault="009E1C22" w:rsidP="009E1C22">
      <w:pPr>
        <w:pStyle w:val="ListBullet"/>
        <w:rPr>
          <w:rFonts w:asciiTheme="majorHAnsi" w:hAnsiTheme="majorHAnsi" w:cstheme="majorHAnsi"/>
          <w:highlight w:val="white"/>
        </w:rPr>
      </w:pPr>
      <w:r w:rsidRPr="00AD1496">
        <w:rPr>
          <w:rFonts w:asciiTheme="majorHAnsi" w:hAnsiTheme="majorHAnsi" w:cstheme="majorHAnsi"/>
          <w:highlight w:val="white"/>
        </w:rPr>
        <w:t>efficiency measures</w:t>
      </w:r>
      <w:r w:rsidRPr="00AD1496">
        <w:rPr>
          <w:rFonts w:asciiTheme="majorHAnsi" w:hAnsiTheme="majorHAnsi" w:cstheme="majorHAnsi"/>
        </w:rPr>
        <w:t>—</w:t>
      </w:r>
      <w:r w:rsidR="00A14770" w:rsidRPr="00AD1496">
        <w:rPr>
          <w:rFonts w:asciiTheme="majorHAnsi" w:hAnsiTheme="majorHAnsi" w:cstheme="majorHAnsi"/>
          <w:highlight w:val="white"/>
        </w:rPr>
        <w:t xml:space="preserve">which </w:t>
      </w:r>
      <w:r w:rsidR="004E2E85" w:rsidRPr="00AD1496">
        <w:rPr>
          <w:rFonts w:asciiTheme="majorHAnsi" w:hAnsiTheme="majorHAnsi" w:cstheme="majorHAnsi"/>
          <w:highlight w:val="white"/>
        </w:rPr>
        <w:t>improve environmental outcomes</w:t>
      </w:r>
      <w:r w:rsidR="00A14770" w:rsidRPr="00AD1496">
        <w:rPr>
          <w:rFonts w:asciiTheme="majorHAnsi" w:hAnsiTheme="majorHAnsi" w:cstheme="majorHAnsi"/>
          <w:highlight w:val="white"/>
        </w:rPr>
        <w:t xml:space="preserve"> </w:t>
      </w:r>
      <w:r w:rsidR="004E2E85" w:rsidRPr="00AD1496">
        <w:rPr>
          <w:rFonts w:asciiTheme="majorHAnsi" w:hAnsiTheme="majorHAnsi" w:cstheme="majorHAnsi"/>
          <w:highlight w:val="white"/>
        </w:rPr>
        <w:t>while maintaining or improving socio-economic outcomes by making savings in the amount of water required for consumptive purposes</w:t>
      </w:r>
      <w:r w:rsidR="004E2E85" w:rsidRPr="00AD1496">
        <w:rPr>
          <w:rFonts w:asciiTheme="majorHAnsi" w:hAnsiTheme="majorHAnsi" w:cstheme="majorHAnsi"/>
        </w:rPr>
        <w:t>—</w:t>
      </w:r>
      <w:r w:rsidR="004E2E85" w:rsidRPr="00AD1496">
        <w:rPr>
          <w:rFonts w:asciiTheme="majorHAnsi" w:hAnsiTheme="majorHAnsi" w:cstheme="majorHAnsi"/>
          <w:highlight w:val="white"/>
        </w:rPr>
        <w:t xml:space="preserve">for example by making </w:t>
      </w:r>
      <w:r w:rsidRPr="00AD1496">
        <w:rPr>
          <w:rFonts w:asciiTheme="majorHAnsi" w:hAnsiTheme="majorHAnsi" w:cstheme="majorHAnsi"/>
          <w:highlight w:val="white"/>
        </w:rPr>
        <w:t>more water available for the environment through water efficiency projects in agriculture, water delivery, industrial and urban settings.</w:t>
      </w:r>
    </w:p>
    <w:p w14:paraId="4D6563D4" w14:textId="77777777" w:rsidR="009E1C22" w:rsidRPr="00AD1496" w:rsidRDefault="009E1C22" w:rsidP="009E1C22">
      <w:pPr>
        <w:pStyle w:val="Heading3"/>
        <w:rPr>
          <w:rFonts w:asciiTheme="majorHAnsi" w:hAnsiTheme="majorHAnsi" w:cstheme="majorHAnsi"/>
        </w:rPr>
      </w:pPr>
      <w:r w:rsidRPr="00AD1496">
        <w:rPr>
          <w:rFonts w:asciiTheme="majorHAnsi" w:hAnsiTheme="majorHAnsi" w:cstheme="majorHAnsi"/>
        </w:rPr>
        <w:t>Intergovernmental agreements</w:t>
      </w:r>
    </w:p>
    <w:p w14:paraId="45B39375" w14:textId="660034EF" w:rsidR="009E1C22" w:rsidRPr="00AD1496" w:rsidRDefault="009E1C22" w:rsidP="009E1C22">
      <w:pPr>
        <w:rPr>
          <w:rFonts w:asciiTheme="majorHAnsi" w:hAnsiTheme="majorHAnsi" w:cstheme="majorHAnsi"/>
        </w:rPr>
      </w:pPr>
      <w:r w:rsidRPr="00AD1496">
        <w:rPr>
          <w:rFonts w:asciiTheme="majorHAnsi" w:hAnsiTheme="majorHAnsi" w:cstheme="majorHAnsi"/>
        </w:rPr>
        <w:t>There is a long history of cooperative agreements involving the Commonwealth and the Basin States</w:t>
      </w:r>
      <w:r w:rsidR="00CA1818" w:rsidRPr="00AD1496">
        <w:rPr>
          <w:rFonts w:asciiTheme="majorHAnsi" w:hAnsiTheme="majorHAnsi" w:cstheme="majorHAnsi"/>
        </w:rPr>
        <w:t xml:space="preserve"> in </w:t>
      </w:r>
      <w:r w:rsidR="0035420D" w:rsidRPr="00AD1496">
        <w:rPr>
          <w:rFonts w:asciiTheme="majorHAnsi" w:hAnsiTheme="majorHAnsi" w:cstheme="majorHAnsi"/>
        </w:rPr>
        <w:t xml:space="preserve">managing water resources in the </w:t>
      </w:r>
      <w:r w:rsidR="00CA1818" w:rsidRPr="00AD1496">
        <w:rPr>
          <w:rFonts w:asciiTheme="majorHAnsi" w:hAnsiTheme="majorHAnsi" w:cstheme="majorHAnsi"/>
        </w:rPr>
        <w:t>MDB</w:t>
      </w:r>
      <w:r w:rsidRPr="00AD1496">
        <w:rPr>
          <w:rFonts w:asciiTheme="majorHAnsi" w:hAnsiTheme="majorHAnsi" w:cstheme="majorHAnsi"/>
        </w:rPr>
        <w:t xml:space="preserve">—over recent decades, these include </w:t>
      </w:r>
      <w:r w:rsidRPr="00AD1496">
        <w:rPr>
          <w:rFonts w:asciiTheme="majorHAnsi" w:hAnsiTheme="majorHAnsi" w:cstheme="majorHAnsi"/>
          <w:i/>
        </w:rPr>
        <w:t xml:space="preserve">The Living Murray </w:t>
      </w:r>
      <w:r w:rsidRPr="00AD1496">
        <w:rPr>
          <w:rFonts w:asciiTheme="majorHAnsi" w:hAnsiTheme="majorHAnsi" w:cstheme="majorHAnsi"/>
        </w:rPr>
        <w:t xml:space="preserve">initiative and the </w:t>
      </w:r>
      <w:r w:rsidRPr="00AD1496">
        <w:rPr>
          <w:rFonts w:asciiTheme="majorHAnsi" w:hAnsiTheme="majorHAnsi" w:cstheme="majorHAnsi"/>
          <w:i/>
        </w:rPr>
        <w:t>National Water Initiative</w:t>
      </w:r>
      <w:r w:rsidR="00D368C2" w:rsidRPr="00AD1496">
        <w:rPr>
          <w:rFonts w:asciiTheme="majorHAnsi" w:hAnsiTheme="majorHAnsi" w:cstheme="majorHAnsi"/>
          <w:i/>
        </w:rPr>
        <w:t xml:space="preserve"> 2004</w:t>
      </w:r>
      <w:r w:rsidRPr="00AD1496">
        <w:rPr>
          <w:rFonts w:asciiTheme="majorHAnsi" w:hAnsiTheme="majorHAnsi" w:cstheme="majorHAnsi"/>
        </w:rPr>
        <w:t>.</w:t>
      </w:r>
    </w:p>
    <w:p w14:paraId="6C5B5256" w14:textId="077660B4" w:rsidR="001942B5" w:rsidRPr="00AD1496" w:rsidRDefault="009E1C22" w:rsidP="009E1C22">
      <w:pPr>
        <w:rPr>
          <w:rFonts w:asciiTheme="majorHAnsi" w:hAnsiTheme="majorHAnsi" w:cstheme="majorHAnsi"/>
        </w:rPr>
      </w:pPr>
      <w:r w:rsidRPr="00AD1496">
        <w:rPr>
          <w:rFonts w:asciiTheme="majorHAnsi" w:hAnsiTheme="majorHAnsi" w:cstheme="majorHAnsi"/>
          <w:sz w:val="21"/>
          <w:szCs w:val="21"/>
          <w:highlight w:val="white"/>
        </w:rPr>
        <w:t>The</w:t>
      </w:r>
      <w:r w:rsidRPr="00AD1496">
        <w:rPr>
          <w:rFonts w:asciiTheme="majorHAnsi" w:hAnsiTheme="majorHAnsi" w:cstheme="majorHAnsi"/>
        </w:rPr>
        <w:t xml:space="preserve"> current substantive agreement affecting river operations in the MDB is the </w:t>
      </w:r>
      <w:r w:rsidRPr="00AD1496">
        <w:rPr>
          <w:rFonts w:asciiTheme="majorHAnsi" w:hAnsiTheme="majorHAnsi" w:cstheme="majorHAnsi"/>
          <w:i/>
        </w:rPr>
        <w:t>Murray-Darling Basin Agreement</w:t>
      </w:r>
      <w:r w:rsidRPr="00AD1496">
        <w:rPr>
          <w:rFonts w:asciiTheme="majorHAnsi" w:hAnsiTheme="majorHAnsi" w:cstheme="majorHAnsi"/>
        </w:rPr>
        <w:t xml:space="preserve"> of </w:t>
      </w:r>
      <w:r w:rsidRPr="00AD1496">
        <w:rPr>
          <w:rFonts w:asciiTheme="majorHAnsi" w:hAnsiTheme="majorHAnsi" w:cstheme="majorHAnsi"/>
        </w:rPr>
        <w:lastRenderedPageBreak/>
        <w:t>2008</w:t>
      </w:r>
      <w:r w:rsidR="00F82BFD" w:rsidRPr="00AD1496">
        <w:rPr>
          <w:rFonts w:asciiTheme="majorHAnsi" w:hAnsiTheme="majorHAnsi" w:cstheme="majorHAnsi"/>
        </w:rPr>
        <w:t xml:space="preserve"> which is located at Schedule 1 to the Water Act</w:t>
      </w:r>
      <w:r w:rsidRPr="00AD1496">
        <w:rPr>
          <w:rFonts w:asciiTheme="majorHAnsi" w:hAnsiTheme="majorHAnsi" w:cstheme="majorHAnsi"/>
        </w:rPr>
        <w:t xml:space="preserve">. The agreement governs the operations of significant river infrastructure such as locks, weirs and storages, as well as containing complex rules and procedures for the management of the Basin and enshrines South Australia’s volumetric entitlement. </w:t>
      </w:r>
    </w:p>
    <w:p w14:paraId="54D405B5" w14:textId="416EC224" w:rsidR="001942B5" w:rsidRPr="00AD1496" w:rsidRDefault="001942B5" w:rsidP="001942B5">
      <w:pPr>
        <w:rPr>
          <w:rFonts w:asciiTheme="majorHAnsi" w:hAnsiTheme="majorHAnsi" w:cstheme="majorHAnsi"/>
        </w:rPr>
      </w:pPr>
      <w:r w:rsidRPr="00AD1496">
        <w:rPr>
          <w:rFonts w:asciiTheme="majorHAnsi" w:hAnsiTheme="majorHAnsi" w:cstheme="majorHAnsi"/>
        </w:rPr>
        <w:t xml:space="preserve">The Council of Australian Governments’ (COAG) </w:t>
      </w:r>
      <w:r w:rsidR="00490870" w:rsidRPr="00AD1496">
        <w:rPr>
          <w:rFonts w:asciiTheme="majorHAnsi" w:hAnsiTheme="majorHAnsi" w:cstheme="majorHAnsi"/>
          <w:i/>
        </w:rPr>
        <w:t>Intergovernmental Agreement on Implementing Water Reform in the Murray-Darling Basin</w:t>
      </w:r>
      <w:r w:rsidR="00490870" w:rsidRPr="00AD1496">
        <w:rPr>
          <w:rFonts w:asciiTheme="majorHAnsi" w:hAnsiTheme="majorHAnsi" w:cstheme="majorHAnsi"/>
        </w:rPr>
        <w:t xml:space="preserve"> </w:t>
      </w:r>
      <w:r w:rsidRPr="00AD1496">
        <w:rPr>
          <w:rFonts w:asciiTheme="majorHAnsi" w:hAnsiTheme="majorHAnsi" w:cstheme="majorHAnsi"/>
        </w:rPr>
        <w:t xml:space="preserve">is an undertaking by the Commonwealth and Basin States to </w:t>
      </w:r>
      <w:r w:rsidR="002F1C2B" w:rsidRPr="00AD1496">
        <w:rPr>
          <w:rFonts w:asciiTheme="majorHAnsi" w:hAnsiTheme="majorHAnsi" w:cstheme="majorHAnsi"/>
        </w:rPr>
        <w:t xml:space="preserve">ensure that Basin </w:t>
      </w:r>
      <w:r w:rsidRPr="00AD1496">
        <w:rPr>
          <w:rFonts w:asciiTheme="majorHAnsi" w:hAnsiTheme="majorHAnsi" w:cstheme="majorHAnsi"/>
        </w:rPr>
        <w:t>water reforms</w:t>
      </w:r>
      <w:r w:rsidR="002F1C2B" w:rsidRPr="00AD1496">
        <w:rPr>
          <w:rFonts w:asciiTheme="majorHAnsi" w:hAnsiTheme="majorHAnsi" w:cstheme="majorHAnsi"/>
        </w:rPr>
        <w:t xml:space="preserve">, including the </w:t>
      </w:r>
      <w:r w:rsidR="0001374C" w:rsidRPr="00AD1496">
        <w:rPr>
          <w:rFonts w:asciiTheme="majorHAnsi" w:hAnsiTheme="majorHAnsi" w:cstheme="majorHAnsi"/>
        </w:rPr>
        <w:t xml:space="preserve">Murray-Darling </w:t>
      </w:r>
      <w:r w:rsidR="002F1C2B" w:rsidRPr="00AD1496">
        <w:rPr>
          <w:rFonts w:asciiTheme="majorHAnsi" w:hAnsiTheme="majorHAnsi" w:cstheme="majorHAnsi"/>
        </w:rPr>
        <w:t>Basin Plan</w:t>
      </w:r>
      <w:r w:rsidR="0001374C" w:rsidRPr="00AD1496">
        <w:rPr>
          <w:rFonts w:asciiTheme="majorHAnsi" w:hAnsiTheme="majorHAnsi" w:cstheme="majorHAnsi"/>
        </w:rPr>
        <w:t xml:space="preserve"> (Basin Plan)</w:t>
      </w:r>
      <w:r w:rsidR="002F1C2B" w:rsidRPr="00AD1496">
        <w:rPr>
          <w:rFonts w:asciiTheme="majorHAnsi" w:hAnsiTheme="majorHAnsi" w:cstheme="majorHAnsi"/>
        </w:rPr>
        <w:t>, are implemented</w:t>
      </w:r>
      <w:r w:rsidRPr="00AD1496">
        <w:rPr>
          <w:rFonts w:asciiTheme="majorHAnsi" w:hAnsiTheme="majorHAnsi" w:cstheme="majorHAnsi"/>
        </w:rPr>
        <w:t xml:space="preserve"> to </w:t>
      </w:r>
      <w:r w:rsidR="002F1C2B" w:rsidRPr="00AD1496">
        <w:rPr>
          <w:rFonts w:asciiTheme="majorHAnsi" w:hAnsiTheme="majorHAnsi" w:cstheme="majorHAnsi"/>
        </w:rPr>
        <w:t xml:space="preserve">support the national interest of </w:t>
      </w:r>
      <w:r w:rsidRPr="00AD1496">
        <w:rPr>
          <w:rFonts w:asciiTheme="majorHAnsi" w:hAnsiTheme="majorHAnsi" w:cstheme="majorHAnsi"/>
        </w:rPr>
        <w:t>improv</w:t>
      </w:r>
      <w:r w:rsidR="002F1C2B" w:rsidRPr="00AD1496">
        <w:rPr>
          <w:rFonts w:asciiTheme="majorHAnsi" w:hAnsiTheme="majorHAnsi" w:cstheme="majorHAnsi"/>
        </w:rPr>
        <w:t>ing</w:t>
      </w:r>
      <w:r w:rsidRPr="00AD1496">
        <w:rPr>
          <w:rFonts w:asciiTheme="majorHAnsi" w:hAnsiTheme="majorHAnsi" w:cstheme="majorHAnsi"/>
        </w:rPr>
        <w:t xml:space="preserve"> the health of the Basin and secur</w:t>
      </w:r>
      <w:r w:rsidR="002F1C2B" w:rsidRPr="00AD1496">
        <w:rPr>
          <w:rFonts w:asciiTheme="majorHAnsi" w:hAnsiTheme="majorHAnsi" w:cstheme="majorHAnsi"/>
        </w:rPr>
        <w:t>ing</w:t>
      </w:r>
      <w:r w:rsidRPr="00AD1496">
        <w:rPr>
          <w:rFonts w:asciiTheme="majorHAnsi" w:hAnsiTheme="majorHAnsi" w:cstheme="majorHAnsi"/>
        </w:rPr>
        <w:t xml:space="preserve"> a future for its communities. </w:t>
      </w:r>
    </w:p>
    <w:p w14:paraId="64EBE1F8" w14:textId="7B0643AC" w:rsidR="001942B5" w:rsidRPr="00AD1496" w:rsidRDefault="0001374C" w:rsidP="001942B5">
      <w:pPr>
        <w:rPr>
          <w:rFonts w:asciiTheme="majorHAnsi" w:hAnsiTheme="majorHAnsi" w:cstheme="majorHAnsi"/>
        </w:rPr>
      </w:pPr>
      <w:r w:rsidRPr="00AD1496">
        <w:rPr>
          <w:rFonts w:asciiTheme="majorHAnsi" w:hAnsiTheme="majorHAnsi" w:cstheme="majorHAnsi"/>
        </w:rPr>
        <w:t xml:space="preserve">As part of the implementation of the IGA, the Australian Government also provides </w:t>
      </w:r>
      <w:r w:rsidR="001942B5" w:rsidRPr="00AD1496">
        <w:rPr>
          <w:rFonts w:asciiTheme="majorHAnsi" w:hAnsiTheme="majorHAnsi" w:cstheme="majorHAnsi"/>
        </w:rPr>
        <w:t xml:space="preserve">financial support to the Basin States </w:t>
      </w:r>
      <w:r w:rsidRPr="00AD1496">
        <w:rPr>
          <w:rFonts w:asciiTheme="majorHAnsi" w:hAnsiTheme="majorHAnsi" w:cstheme="majorHAnsi"/>
        </w:rPr>
        <w:t xml:space="preserve">through </w:t>
      </w:r>
      <w:r w:rsidR="001942B5" w:rsidRPr="00AD1496">
        <w:rPr>
          <w:rFonts w:asciiTheme="majorHAnsi" w:hAnsiTheme="majorHAnsi" w:cstheme="majorHAnsi"/>
        </w:rPr>
        <w:t xml:space="preserve">the NPA. This is in recognition of costs incurred by Basin States in implementing the Basin Plan. Under the NPA, the Commonwealth committed to providing </w:t>
      </w:r>
      <w:r w:rsidR="001942B5" w:rsidRPr="00AD1496">
        <w:rPr>
          <w:rFonts w:asciiTheme="majorHAnsi" w:hAnsiTheme="majorHAnsi" w:cstheme="majorHAnsi"/>
        </w:rPr>
        <w:lastRenderedPageBreak/>
        <w:t>$174 million over nine years (2012-13 to 2019-20) to the Basin States based on performance. The outputs under the NPA, in summary, include the Basin States:</w:t>
      </w:r>
    </w:p>
    <w:p w14:paraId="509BBB9D" w14:textId="3A5F0D21" w:rsidR="00BB65EB" w:rsidRPr="00AD1496" w:rsidRDefault="001942B5" w:rsidP="00E127B2">
      <w:pPr>
        <w:pStyle w:val="ListBullet"/>
        <w:rPr>
          <w:rFonts w:asciiTheme="majorHAnsi" w:hAnsiTheme="majorHAnsi" w:cstheme="majorHAnsi"/>
        </w:rPr>
      </w:pPr>
      <w:r w:rsidRPr="00AD1496">
        <w:rPr>
          <w:rFonts w:asciiTheme="majorHAnsi" w:hAnsiTheme="majorHAnsi" w:cstheme="majorHAnsi"/>
        </w:rPr>
        <w:t>enabling the Commonwealth to meet its commitment to ‘bridge the gap’ between baseline diversion limits and Sustainable Diversion Limits (SDLs)</w:t>
      </w:r>
    </w:p>
    <w:p w14:paraId="4848D28A" w14:textId="3F7769B7" w:rsidR="001942B5" w:rsidRPr="00AD1496" w:rsidRDefault="00BB65EB" w:rsidP="00E127B2">
      <w:pPr>
        <w:pStyle w:val="ListBullet"/>
        <w:rPr>
          <w:rFonts w:asciiTheme="majorHAnsi" w:hAnsiTheme="majorHAnsi" w:cstheme="majorHAnsi"/>
        </w:rPr>
      </w:pPr>
      <w:r w:rsidRPr="00AD1496">
        <w:rPr>
          <w:rFonts w:asciiTheme="majorHAnsi" w:hAnsiTheme="majorHAnsi" w:cstheme="majorHAnsi"/>
        </w:rPr>
        <w:t xml:space="preserve">cooperatively identifying and </w:t>
      </w:r>
      <w:r w:rsidR="001942B5" w:rsidRPr="00AD1496">
        <w:rPr>
          <w:rFonts w:asciiTheme="majorHAnsi" w:hAnsiTheme="majorHAnsi" w:cstheme="majorHAnsi"/>
        </w:rPr>
        <w:t xml:space="preserve">agreeing on initiatives </w:t>
      </w:r>
      <w:r w:rsidRPr="00AD1496">
        <w:rPr>
          <w:rFonts w:asciiTheme="majorHAnsi" w:hAnsiTheme="majorHAnsi" w:cstheme="majorHAnsi"/>
        </w:rPr>
        <w:t xml:space="preserve">to be considered by the MDBA </w:t>
      </w:r>
      <w:r w:rsidR="001942B5" w:rsidRPr="00AD1496">
        <w:rPr>
          <w:rFonts w:asciiTheme="majorHAnsi" w:hAnsiTheme="majorHAnsi" w:cstheme="majorHAnsi"/>
        </w:rPr>
        <w:t>under the Surface Water SDL adjustment mechanism</w:t>
      </w:r>
    </w:p>
    <w:p w14:paraId="2CC1E41B" w14:textId="4EE5A6AC" w:rsidR="001942B5" w:rsidRPr="00AD1496" w:rsidRDefault="001942B5" w:rsidP="00E127B2">
      <w:pPr>
        <w:pStyle w:val="ListBullet"/>
        <w:rPr>
          <w:rFonts w:asciiTheme="majorHAnsi" w:hAnsiTheme="majorHAnsi" w:cstheme="majorHAnsi"/>
        </w:rPr>
      </w:pPr>
      <w:r w:rsidRPr="00AD1496">
        <w:rPr>
          <w:rFonts w:asciiTheme="majorHAnsi" w:hAnsiTheme="majorHAnsi" w:cstheme="majorHAnsi"/>
        </w:rPr>
        <w:t xml:space="preserve">implementing the Basin Plan, including preparing Water Resource Plans </w:t>
      </w:r>
      <w:r w:rsidR="00BB65EB" w:rsidRPr="00AD1496">
        <w:rPr>
          <w:rFonts w:asciiTheme="majorHAnsi" w:hAnsiTheme="majorHAnsi" w:cstheme="majorHAnsi"/>
        </w:rPr>
        <w:t xml:space="preserve">consistent with Basin Plan requirements </w:t>
      </w:r>
      <w:r w:rsidRPr="00AD1496">
        <w:rPr>
          <w:rFonts w:asciiTheme="majorHAnsi" w:hAnsiTheme="majorHAnsi" w:cstheme="majorHAnsi"/>
        </w:rPr>
        <w:t>to provide greater certainty for water users</w:t>
      </w:r>
    </w:p>
    <w:p w14:paraId="2558AFD5" w14:textId="77777777" w:rsidR="001942B5" w:rsidRPr="00AD1496" w:rsidRDefault="001942B5" w:rsidP="00E127B2">
      <w:pPr>
        <w:pStyle w:val="ListBullet"/>
        <w:rPr>
          <w:rFonts w:asciiTheme="majorHAnsi" w:hAnsiTheme="majorHAnsi" w:cstheme="majorHAnsi"/>
        </w:rPr>
      </w:pPr>
      <w:r w:rsidRPr="00AD1496">
        <w:rPr>
          <w:rFonts w:asciiTheme="majorHAnsi" w:hAnsiTheme="majorHAnsi" w:cstheme="majorHAnsi"/>
        </w:rPr>
        <w:t>ensuring the characteristics of licenced entitlements held for environmental use will not be enhanced or diminished to facilitate improved environmental watering</w:t>
      </w:r>
    </w:p>
    <w:p w14:paraId="1892DA79" w14:textId="5FC9954F" w:rsidR="001942B5" w:rsidRPr="00AD1496" w:rsidRDefault="001942B5" w:rsidP="00E127B2">
      <w:pPr>
        <w:pStyle w:val="ListBullet"/>
        <w:rPr>
          <w:rFonts w:asciiTheme="majorHAnsi" w:hAnsiTheme="majorHAnsi" w:cstheme="majorHAnsi"/>
        </w:rPr>
      </w:pPr>
      <w:r w:rsidRPr="00AD1496">
        <w:rPr>
          <w:rFonts w:asciiTheme="majorHAnsi" w:hAnsiTheme="majorHAnsi" w:cstheme="majorHAnsi"/>
        </w:rPr>
        <w:t>working collaboratively with the Commonwealth and each other in exercising their environmental watering and planning responsibilities in accordance with the Basin Plan Environmental Watering Plan</w:t>
      </w:r>
      <w:r w:rsidR="00BB65EB" w:rsidRPr="00AD1496">
        <w:rPr>
          <w:rFonts w:asciiTheme="majorHAnsi" w:hAnsiTheme="majorHAnsi" w:cstheme="majorHAnsi"/>
        </w:rPr>
        <w:t>, and with regard to the Basin annual environmental watering priorities</w:t>
      </w:r>
      <w:r w:rsidRPr="00AD1496">
        <w:rPr>
          <w:rFonts w:asciiTheme="majorHAnsi" w:hAnsiTheme="majorHAnsi" w:cstheme="majorHAnsi"/>
        </w:rPr>
        <w:t>.</w:t>
      </w:r>
    </w:p>
    <w:p w14:paraId="4959CDF3" w14:textId="77777777" w:rsidR="00F12881" w:rsidRPr="00AD1496" w:rsidRDefault="00F12881" w:rsidP="00F12881">
      <w:pPr>
        <w:pBdr>
          <w:top w:val="nil"/>
          <w:left w:val="nil"/>
          <w:bottom w:val="nil"/>
          <w:right w:val="nil"/>
          <w:between w:val="nil"/>
        </w:pBdr>
        <w:spacing w:after="0" w:line="240" w:lineRule="auto"/>
        <w:rPr>
          <w:rFonts w:asciiTheme="majorHAnsi" w:hAnsiTheme="majorHAnsi" w:cstheme="majorHAnsi"/>
          <w:color w:val="000000"/>
        </w:rPr>
      </w:pPr>
    </w:p>
    <w:p w14:paraId="7A3B190D" w14:textId="31D7B684" w:rsidR="001942B5" w:rsidRPr="00AD1496" w:rsidRDefault="001942B5" w:rsidP="009E1C22">
      <w:pPr>
        <w:rPr>
          <w:rFonts w:asciiTheme="majorHAnsi" w:eastAsia="Times New Roman" w:hAnsiTheme="majorHAnsi" w:cstheme="majorHAnsi"/>
          <w:b/>
          <w:i/>
          <w:iCs/>
          <w:color w:val="08193E"/>
          <w:sz w:val="24"/>
        </w:rPr>
      </w:pPr>
      <w:r w:rsidRPr="00AD1496">
        <w:rPr>
          <w:rFonts w:asciiTheme="majorHAnsi" w:eastAsia="Times New Roman" w:hAnsiTheme="majorHAnsi" w:cstheme="majorHAnsi"/>
          <w:b/>
          <w:i/>
          <w:iCs/>
          <w:color w:val="08193E"/>
          <w:sz w:val="24"/>
        </w:rPr>
        <w:lastRenderedPageBreak/>
        <w:t xml:space="preserve">This National Partnership Agreement </w:t>
      </w:r>
    </w:p>
    <w:p w14:paraId="1C076534" w14:textId="1718A9CC" w:rsidR="001942B5" w:rsidRPr="00AD1496" w:rsidRDefault="009E1C22" w:rsidP="001942B5">
      <w:pPr>
        <w:rPr>
          <w:rFonts w:asciiTheme="majorHAnsi" w:hAnsiTheme="majorHAnsi" w:cstheme="majorHAnsi"/>
        </w:rPr>
      </w:pPr>
      <w:r w:rsidRPr="00AD1496">
        <w:rPr>
          <w:rFonts w:asciiTheme="majorHAnsi" w:hAnsiTheme="majorHAnsi" w:cstheme="majorHAnsi"/>
          <w:sz w:val="21"/>
          <w:szCs w:val="21"/>
          <w:highlight w:val="white"/>
        </w:rPr>
        <w:t>The</w:t>
      </w:r>
      <w:r w:rsidRPr="00AD1496">
        <w:rPr>
          <w:rFonts w:asciiTheme="majorHAnsi" w:hAnsiTheme="majorHAnsi" w:cstheme="majorHAnsi"/>
        </w:rPr>
        <w:t xml:space="preserve"> </w:t>
      </w:r>
      <w:r w:rsidRPr="00AD1496">
        <w:rPr>
          <w:rFonts w:asciiTheme="majorHAnsi" w:hAnsiTheme="majorHAnsi" w:cstheme="majorHAnsi"/>
          <w:i/>
        </w:rPr>
        <w:t xml:space="preserve">National Partnership Agreement </w:t>
      </w:r>
      <w:r w:rsidR="001942B5" w:rsidRPr="00AD1496">
        <w:rPr>
          <w:rFonts w:asciiTheme="majorHAnsi" w:hAnsiTheme="majorHAnsi" w:cstheme="majorHAnsi"/>
          <w:i/>
        </w:rPr>
        <w:t xml:space="preserve">(NPA) </w:t>
      </w:r>
      <w:r w:rsidRPr="00AD1496">
        <w:rPr>
          <w:rFonts w:asciiTheme="majorHAnsi" w:hAnsiTheme="majorHAnsi" w:cstheme="majorHAnsi"/>
          <w:i/>
        </w:rPr>
        <w:t>on Implementing Water Reform in the Murray-Darling Basin</w:t>
      </w:r>
      <w:r w:rsidRPr="00AD1496">
        <w:rPr>
          <w:rFonts w:asciiTheme="majorHAnsi" w:hAnsiTheme="majorHAnsi" w:cstheme="majorHAnsi"/>
        </w:rPr>
        <w:t xml:space="preserve">—the subject of this review—is </w:t>
      </w:r>
      <w:r w:rsidR="00426134" w:rsidRPr="00AD1496">
        <w:rPr>
          <w:rFonts w:asciiTheme="majorHAnsi" w:hAnsiTheme="majorHAnsi" w:cstheme="majorHAnsi"/>
        </w:rPr>
        <w:t xml:space="preserve">an overarching </w:t>
      </w:r>
      <w:r w:rsidRPr="00AD1496">
        <w:rPr>
          <w:rFonts w:asciiTheme="majorHAnsi" w:hAnsiTheme="majorHAnsi" w:cstheme="majorHAnsi"/>
        </w:rPr>
        <w:t xml:space="preserve">intergovernmental agreement </w:t>
      </w:r>
      <w:r w:rsidR="00DC3569" w:rsidRPr="00AD1496">
        <w:rPr>
          <w:rFonts w:asciiTheme="majorHAnsi" w:hAnsiTheme="majorHAnsi" w:cstheme="majorHAnsi"/>
        </w:rPr>
        <w:t>which commits the Commonwealth to providing financial</w:t>
      </w:r>
      <w:r w:rsidR="00426134" w:rsidRPr="00AD1496">
        <w:rPr>
          <w:rFonts w:asciiTheme="majorHAnsi" w:hAnsiTheme="majorHAnsi" w:cstheme="majorHAnsi"/>
        </w:rPr>
        <w:t xml:space="preserve"> </w:t>
      </w:r>
      <w:r w:rsidR="00DC3569" w:rsidRPr="00AD1496">
        <w:rPr>
          <w:rFonts w:asciiTheme="majorHAnsi" w:hAnsiTheme="majorHAnsi" w:cstheme="majorHAnsi"/>
        </w:rPr>
        <w:t>support</w:t>
      </w:r>
      <w:r w:rsidR="00426134" w:rsidRPr="00AD1496">
        <w:rPr>
          <w:rFonts w:asciiTheme="majorHAnsi" w:hAnsiTheme="majorHAnsi" w:cstheme="majorHAnsi"/>
        </w:rPr>
        <w:t xml:space="preserve"> </w:t>
      </w:r>
      <w:r w:rsidR="00DC3569" w:rsidRPr="00AD1496">
        <w:rPr>
          <w:rFonts w:asciiTheme="majorHAnsi" w:hAnsiTheme="majorHAnsi" w:cstheme="majorHAnsi"/>
        </w:rPr>
        <w:t xml:space="preserve">to </w:t>
      </w:r>
      <w:r w:rsidR="00C42104" w:rsidRPr="00AD1496">
        <w:rPr>
          <w:rFonts w:asciiTheme="majorHAnsi" w:hAnsiTheme="majorHAnsi" w:cstheme="majorHAnsi"/>
        </w:rPr>
        <w:t>assist</w:t>
      </w:r>
      <w:r w:rsidR="00DC3569" w:rsidRPr="00AD1496">
        <w:rPr>
          <w:rFonts w:asciiTheme="majorHAnsi" w:hAnsiTheme="majorHAnsi" w:cstheme="majorHAnsi"/>
        </w:rPr>
        <w:t xml:space="preserve"> Basin States </w:t>
      </w:r>
      <w:r w:rsidR="00C42104" w:rsidRPr="00AD1496">
        <w:rPr>
          <w:rFonts w:asciiTheme="majorHAnsi" w:hAnsiTheme="majorHAnsi" w:cstheme="majorHAnsi"/>
        </w:rPr>
        <w:t>in their</w:t>
      </w:r>
      <w:r w:rsidR="00DC3569" w:rsidRPr="00AD1496">
        <w:rPr>
          <w:rFonts w:asciiTheme="majorHAnsi" w:hAnsiTheme="majorHAnsi" w:cstheme="majorHAnsi"/>
        </w:rPr>
        <w:t xml:space="preserve"> </w:t>
      </w:r>
      <w:r w:rsidR="00426134" w:rsidRPr="00AD1496">
        <w:rPr>
          <w:rFonts w:asciiTheme="majorHAnsi" w:hAnsiTheme="majorHAnsi" w:cstheme="majorHAnsi"/>
        </w:rPr>
        <w:t>implementation of the Basin Plan and associated MDB water reforms</w:t>
      </w:r>
      <w:r w:rsidR="00DC3569" w:rsidRPr="00AD1496">
        <w:rPr>
          <w:rFonts w:asciiTheme="majorHAnsi" w:hAnsiTheme="majorHAnsi" w:cstheme="majorHAnsi"/>
        </w:rPr>
        <w:t>, and the IGA.</w:t>
      </w:r>
      <w:r w:rsidR="00901671" w:rsidRPr="00AD1496">
        <w:rPr>
          <w:rFonts w:asciiTheme="majorHAnsi" w:hAnsiTheme="majorHAnsi" w:cstheme="majorHAnsi"/>
        </w:rPr>
        <w:t xml:space="preserve"> </w:t>
      </w:r>
    </w:p>
    <w:p w14:paraId="69AC8ABA" w14:textId="12E5740D" w:rsidR="001942B5" w:rsidRPr="00AD1496" w:rsidRDefault="001942B5" w:rsidP="001942B5">
      <w:pPr>
        <w:rPr>
          <w:rFonts w:asciiTheme="majorHAnsi" w:hAnsiTheme="majorHAnsi" w:cstheme="majorHAnsi"/>
        </w:rPr>
      </w:pPr>
      <w:r w:rsidRPr="00AD1496">
        <w:rPr>
          <w:rFonts w:asciiTheme="majorHAnsi" w:hAnsiTheme="majorHAnsi" w:cstheme="majorHAnsi"/>
        </w:rPr>
        <w:t xml:space="preserve">Under the NPA, the Department provides an annual assessment report on each Basin State’s performance </w:t>
      </w:r>
      <w:r w:rsidR="006062D8" w:rsidRPr="00AD1496">
        <w:rPr>
          <w:rFonts w:asciiTheme="majorHAnsi" w:hAnsiTheme="majorHAnsi" w:cstheme="majorHAnsi"/>
        </w:rPr>
        <w:t xml:space="preserve">in supporting the implementation of the Basin Plan and IGA </w:t>
      </w:r>
      <w:r w:rsidRPr="00AD1496">
        <w:rPr>
          <w:rFonts w:asciiTheme="majorHAnsi" w:hAnsiTheme="majorHAnsi" w:cstheme="majorHAnsi"/>
        </w:rPr>
        <w:t>to the Commonwealth Minister. The Commonwealth Minister authorises, based upon the funding and performance reporting arrangements set out in the NPA and the Department’s assessment, whether payments are made to a Basin State.</w:t>
      </w:r>
    </w:p>
    <w:p w14:paraId="1B52F2CA" w14:textId="14E6C3E6" w:rsidR="001942B5" w:rsidRPr="00AD1496" w:rsidRDefault="001942B5" w:rsidP="001942B5">
      <w:pPr>
        <w:rPr>
          <w:rFonts w:asciiTheme="majorHAnsi" w:hAnsiTheme="majorHAnsi" w:cstheme="majorHAnsi"/>
        </w:rPr>
      </w:pPr>
      <w:r w:rsidRPr="00AD1496">
        <w:rPr>
          <w:rFonts w:asciiTheme="majorHAnsi" w:hAnsiTheme="majorHAnsi" w:cstheme="majorHAnsi"/>
        </w:rPr>
        <w:t xml:space="preserve">Clause 34 of the NPA requires that it be reviewed with regard to progress made by the Parties in achieving the agreed outcomes, both at July 2016 and 12 months before </w:t>
      </w:r>
      <w:r w:rsidRPr="00AD1496">
        <w:rPr>
          <w:rFonts w:asciiTheme="majorHAnsi" w:hAnsiTheme="majorHAnsi" w:cstheme="majorHAnsi"/>
        </w:rPr>
        <w:lastRenderedPageBreak/>
        <w:t xml:space="preserve">the end of the NPA. The mid-term review of the NPA was finalised in August 2017, and this final review is expected to be completed </w:t>
      </w:r>
      <w:r w:rsidR="00490870" w:rsidRPr="00AD1496">
        <w:rPr>
          <w:rFonts w:asciiTheme="majorHAnsi" w:hAnsiTheme="majorHAnsi" w:cstheme="majorHAnsi"/>
        </w:rPr>
        <w:t xml:space="preserve">in </w:t>
      </w:r>
      <w:r w:rsidR="00EE2AE8">
        <w:rPr>
          <w:rFonts w:asciiTheme="majorHAnsi" w:hAnsiTheme="majorHAnsi" w:cstheme="majorHAnsi"/>
        </w:rPr>
        <w:t>early 2020</w:t>
      </w:r>
      <w:r w:rsidRPr="00AD1496">
        <w:rPr>
          <w:rFonts w:asciiTheme="majorHAnsi" w:hAnsiTheme="majorHAnsi" w:cstheme="majorHAnsi"/>
        </w:rPr>
        <w:t>.</w:t>
      </w:r>
    </w:p>
    <w:p w14:paraId="790AC6A8" w14:textId="70393490" w:rsidR="00650691" w:rsidRPr="00AD1496" w:rsidRDefault="00650691" w:rsidP="009E1C22">
      <w:pPr>
        <w:rPr>
          <w:rFonts w:asciiTheme="majorHAnsi" w:hAnsiTheme="majorHAnsi" w:cstheme="majorHAnsi"/>
        </w:rPr>
      </w:pPr>
      <w:r w:rsidRPr="00AD1496">
        <w:rPr>
          <w:rFonts w:asciiTheme="majorHAnsi" w:hAnsiTheme="majorHAnsi" w:cstheme="majorHAnsi"/>
        </w:rPr>
        <w:t>There are a range of other intergovernmental agreements in place or under development to facilitate MDB water management, such as those for State-led water recovery and/or efficiency measures projects, constraints and supply measures projects, and the MDB Compliance Compact.</w:t>
      </w:r>
    </w:p>
    <w:p w14:paraId="1B8802A2" w14:textId="535A8E14" w:rsidR="0046611E" w:rsidRPr="00AD1496" w:rsidRDefault="0046611E" w:rsidP="002B74C4">
      <w:pPr>
        <w:rPr>
          <w:rFonts w:asciiTheme="majorHAnsi" w:hAnsiTheme="majorHAnsi" w:cstheme="majorHAnsi"/>
        </w:rPr>
      </w:pPr>
      <w:r w:rsidRPr="00AD1496">
        <w:rPr>
          <w:rFonts w:asciiTheme="majorHAnsi" w:hAnsiTheme="majorHAnsi" w:cstheme="majorHAnsi"/>
        </w:rPr>
        <w:t>The figure below outlines significant events which preceded and occurred during the NPA.</w:t>
      </w:r>
    </w:p>
    <w:p w14:paraId="4BD9B719" w14:textId="77777777" w:rsidR="0046611E" w:rsidRPr="00AD1496" w:rsidRDefault="00702919" w:rsidP="0046611E">
      <w:pPr>
        <w:pStyle w:val="FigureHeading"/>
        <w:rPr>
          <w:rFonts w:asciiTheme="majorHAnsi" w:hAnsiTheme="majorHAnsi" w:cstheme="majorHAnsi"/>
        </w:rPr>
      </w:pPr>
      <w:bookmarkStart w:id="17" w:name="_Toc14105549"/>
      <w:r w:rsidRPr="00AD1496">
        <w:rPr>
          <w:rFonts w:asciiTheme="majorHAnsi" w:hAnsiTheme="majorHAnsi" w:cstheme="majorHAnsi"/>
        </w:rPr>
        <w:lastRenderedPageBreak/>
        <w:t>Timeline of policy and events relevant to the NPA</w:t>
      </w:r>
      <w:bookmarkEnd w:id="17"/>
    </w:p>
    <w:p w14:paraId="7A522766" w14:textId="55DCB691" w:rsidR="0046611E" w:rsidRPr="00AD1496" w:rsidRDefault="004B3EAB" w:rsidP="0046611E">
      <w:p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noProof/>
          <w:lang w:eastAsia="en-AU"/>
        </w:rPr>
        <w:drawing>
          <wp:inline distT="0" distB="0" distL="0" distR="0" wp14:anchorId="0F54AB7A" wp14:editId="00402436">
            <wp:extent cx="5998978" cy="52959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4436" cy="5300718"/>
                    </a:xfrm>
                    <a:prstGeom prst="rect">
                      <a:avLst/>
                    </a:prstGeom>
                  </pic:spPr>
                </pic:pic>
              </a:graphicData>
            </a:graphic>
          </wp:inline>
        </w:drawing>
      </w:r>
    </w:p>
    <w:p w14:paraId="348A01BF" w14:textId="77777777" w:rsidR="0046611E" w:rsidRPr="00AD1496" w:rsidRDefault="0046611E" w:rsidP="00691206">
      <w:pPr>
        <w:pStyle w:val="Heading2"/>
        <w:rPr>
          <w:rFonts w:asciiTheme="majorHAnsi" w:hAnsiTheme="majorHAnsi" w:cstheme="majorHAnsi"/>
        </w:rPr>
      </w:pPr>
      <w:bookmarkStart w:id="18" w:name="_4d34og8" w:colFirst="0" w:colLast="0"/>
      <w:bookmarkStart w:id="19" w:name="_Ref14106375"/>
      <w:bookmarkStart w:id="20" w:name="_Toc33700617"/>
      <w:bookmarkEnd w:id="18"/>
      <w:r w:rsidRPr="00AD1496">
        <w:rPr>
          <w:rFonts w:asciiTheme="majorHAnsi" w:hAnsiTheme="majorHAnsi" w:cstheme="majorHAnsi"/>
        </w:rPr>
        <w:lastRenderedPageBreak/>
        <w:t>Scope and terms of reference</w:t>
      </w:r>
      <w:bookmarkEnd w:id="19"/>
      <w:bookmarkEnd w:id="20"/>
    </w:p>
    <w:p w14:paraId="2D71DDB8" w14:textId="5ACF1B76" w:rsidR="0046611E" w:rsidRPr="00AD1496" w:rsidRDefault="0046611E" w:rsidP="0046611E">
      <w:pPr>
        <w:spacing w:before="240" w:after="0" w:line="240" w:lineRule="auto"/>
        <w:rPr>
          <w:rFonts w:asciiTheme="majorHAnsi" w:hAnsiTheme="majorHAnsi" w:cstheme="majorHAnsi"/>
        </w:rPr>
      </w:pPr>
      <w:r w:rsidRPr="00AD1496">
        <w:rPr>
          <w:rFonts w:asciiTheme="majorHAnsi" w:hAnsiTheme="majorHAnsi" w:cstheme="majorHAnsi"/>
        </w:rPr>
        <w:t>This review sourced, analysed and synthesised relevant data—principally, a document review and stakeholder consultations.</w:t>
      </w:r>
    </w:p>
    <w:p w14:paraId="0453B3D0" w14:textId="77777777" w:rsidR="0046611E" w:rsidRPr="00AD1496" w:rsidRDefault="0046611E" w:rsidP="0046611E">
      <w:pPr>
        <w:spacing w:before="240" w:after="0" w:line="240" w:lineRule="auto"/>
        <w:rPr>
          <w:rFonts w:asciiTheme="majorHAnsi" w:hAnsiTheme="majorHAnsi" w:cstheme="majorHAnsi"/>
        </w:rPr>
      </w:pPr>
      <w:r w:rsidRPr="00AD1496">
        <w:rPr>
          <w:rFonts w:asciiTheme="majorHAnsi" w:hAnsiTheme="majorHAnsi" w:cstheme="majorHAnsi"/>
        </w:rPr>
        <w:t>The scope of this review was defined by the following Terms of Reference (ToR):</w:t>
      </w:r>
      <w:r w:rsidRPr="00AD1496">
        <w:rPr>
          <w:rFonts w:asciiTheme="majorHAnsi" w:hAnsiTheme="majorHAnsi" w:cstheme="majorHAnsi"/>
        </w:rPr>
        <w:br/>
      </w:r>
    </w:p>
    <w:p w14:paraId="1A25EF7B" w14:textId="77777777" w:rsidR="0046611E" w:rsidRPr="00AD1496" w:rsidRDefault="0046611E" w:rsidP="008D175D">
      <w:pPr>
        <w:numPr>
          <w:ilvl w:val="0"/>
          <w:numId w:val="22"/>
        </w:numPr>
        <w:pBdr>
          <w:top w:val="nil"/>
          <w:left w:val="nil"/>
          <w:bottom w:val="nil"/>
          <w:right w:val="nil"/>
          <w:between w:val="nil"/>
        </w:pBdr>
        <w:spacing w:after="0" w:line="240" w:lineRule="auto"/>
        <w:rPr>
          <w:rFonts w:asciiTheme="majorHAnsi" w:hAnsiTheme="majorHAnsi" w:cstheme="majorHAnsi"/>
          <w:color w:val="000000"/>
        </w:rPr>
      </w:pPr>
      <w:r w:rsidRPr="00AD1496">
        <w:rPr>
          <w:rFonts w:asciiTheme="majorHAnsi" w:hAnsiTheme="majorHAnsi" w:cstheme="majorHAnsi"/>
          <w:color w:val="000000"/>
        </w:rPr>
        <w:t xml:space="preserve">Assessment of the effectiveness of the NPA in contributing to the Murray-Darling Basin water reforms, specifically the extent to which: </w:t>
      </w:r>
    </w:p>
    <w:p w14:paraId="3C610F03" w14:textId="77777777" w:rsidR="0046611E" w:rsidRPr="00AD1496" w:rsidRDefault="0046611E" w:rsidP="008D175D">
      <w:pPr>
        <w:numPr>
          <w:ilvl w:val="1"/>
          <w:numId w:val="19"/>
        </w:numPr>
        <w:pBdr>
          <w:top w:val="nil"/>
          <w:left w:val="nil"/>
          <w:bottom w:val="nil"/>
          <w:right w:val="nil"/>
          <w:between w:val="nil"/>
        </w:pBdr>
        <w:spacing w:after="0" w:line="240" w:lineRule="auto"/>
        <w:ind w:hanging="453"/>
        <w:rPr>
          <w:rFonts w:asciiTheme="majorHAnsi" w:hAnsiTheme="majorHAnsi" w:cstheme="majorHAnsi"/>
        </w:rPr>
      </w:pPr>
      <w:r w:rsidRPr="00AD1496">
        <w:rPr>
          <w:rFonts w:asciiTheme="majorHAnsi" w:hAnsiTheme="majorHAnsi" w:cstheme="majorHAnsi"/>
          <w:color w:val="000000"/>
        </w:rPr>
        <w:t xml:space="preserve">the NPA has supported the achievement of the milestones and outputs </w:t>
      </w:r>
    </w:p>
    <w:p w14:paraId="7289AAF2" w14:textId="77777777" w:rsidR="0046611E" w:rsidRPr="00AD1496" w:rsidRDefault="0046611E" w:rsidP="008D175D">
      <w:pPr>
        <w:numPr>
          <w:ilvl w:val="1"/>
          <w:numId w:val="19"/>
        </w:numPr>
        <w:pBdr>
          <w:top w:val="nil"/>
          <w:left w:val="nil"/>
          <w:bottom w:val="nil"/>
          <w:right w:val="nil"/>
          <w:between w:val="nil"/>
        </w:pBdr>
        <w:spacing w:after="0" w:line="240" w:lineRule="auto"/>
        <w:ind w:hanging="453"/>
        <w:rPr>
          <w:rFonts w:asciiTheme="majorHAnsi" w:hAnsiTheme="majorHAnsi" w:cstheme="majorHAnsi"/>
        </w:rPr>
      </w:pPr>
      <w:r w:rsidRPr="00AD1496">
        <w:rPr>
          <w:rFonts w:asciiTheme="majorHAnsi" w:hAnsiTheme="majorHAnsi" w:cstheme="majorHAnsi"/>
          <w:color w:val="000000"/>
        </w:rPr>
        <w:t>the milestones and outputs have supported achievement of the NPA objectives and outcomes</w:t>
      </w:r>
    </w:p>
    <w:p w14:paraId="26700359" w14:textId="77777777" w:rsidR="0046611E" w:rsidRPr="00AD1496" w:rsidRDefault="0046611E" w:rsidP="008D175D">
      <w:pPr>
        <w:numPr>
          <w:ilvl w:val="0"/>
          <w:numId w:val="22"/>
        </w:numPr>
        <w:pBdr>
          <w:top w:val="nil"/>
          <w:left w:val="nil"/>
          <w:bottom w:val="nil"/>
          <w:right w:val="nil"/>
          <w:between w:val="nil"/>
        </w:pBdr>
        <w:spacing w:after="0" w:line="240" w:lineRule="auto"/>
        <w:rPr>
          <w:rFonts w:asciiTheme="majorHAnsi" w:hAnsiTheme="majorHAnsi" w:cstheme="majorHAnsi"/>
          <w:color w:val="000000"/>
        </w:rPr>
      </w:pPr>
      <w:r w:rsidRPr="00AD1496">
        <w:rPr>
          <w:rFonts w:asciiTheme="majorHAnsi" w:hAnsiTheme="majorHAnsi" w:cstheme="majorHAnsi"/>
          <w:color w:val="000000"/>
        </w:rPr>
        <w:t xml:space="preserve">Assessment of the operations and efficiency of the implementation arrangements in the NPA, specifically: </w:t>
      </w:r>
    </w:p>
    <w:p w14:paraId="323D2382" w14:textId="77777777" w:rsidR="0046611E" w:rsidRPr="00AD1496" w:rsidRDefault="0046611E" w:rsidP="008D175D">
      <w:pPr>
        <w:numPr>
          <w:ilvl w:val="1"/>
          <w:numId w:val="19"/>
        </w:numPr>
        <w:pBdr>
          <w:top w:val="nil"/>
          <w:left w:val="nil"/>
          <w:bottom w:val="nil"/>
          <w:right w:val="nil"/>
          <w:between w:val="nil"/>
        </w:pBdr>
        <w:spacing w:after="0" w:line="240" w:lineRule="auto"/>
        <w:ind w:hanging="453"/>
        <w:rPr>
          <w:rFonts w:asciiTheme="majorHAnsi" w:hAnsiTheme="majorHAnsi" w:cstheme="majorHAnsi"/>
        </w:rPr>
      </w:pPr>
      <w:r w:rsidRPr="00AD1496">
        <w:rPr>
          <w:rFonts w:asciiTheme="majorHAnsi" w:hAnsiTheme="majorHAnsi" w:cstheme="majorHAnsi"/>
          <w:color w:val="000000"/>
        </w:rPr>
        <w:t>the extent to which all Parties are carrying out their assigned roles and responsibilities</w:t>
      </w:r>
    </w:p>
    <w:p w14:paraId="6E87F236" w14:textId="77777777" w:rsidR="0046611E" w:rsidRPr="00AD1496" w:rsidRDefault="0046611E" w:rsidP="008D175D">
      <w:pPr>
        <w:numPr>
          <w:ilvl w:val="1"/>
          <w:numId w:val="19"/>
        </w:numPr>
        <w:pBdr>
          <w:top w:val="nil"/>
          <w:left w:val="nil"/>
          <w:bottom w:val="nil"/>
          <w:right w:val="nil"/>
          <w:between w:val="nil"/>
        </w:pBdr>
        <w:spacing w:after="0" w:line="240" w:lineRule="auto"/>
        <w:ind w:hanging="453"/>
        <w:rPr>
          <w:rFonts w:asciiTheme="majorHAnsi" w:hAnsiTheme="majorHAnsi" w:cstheme="majorHAnsi"/>
        </w:rPr>
      </w:pPr>
      <w:r w:rsidRPr="00AD1496">
        <w:rPr>
          <w:rFonts w:asciiTheme="majorHAnsi" w:hAnsiTheme="majorHAnsi" w:cstheme="majorHAnsi"/>
          <w:color w:val="000000"/>
        </w:rPr>
        <w:t xml:space="preserve">the quality, timeliness, accuracy and suitability of performance reporting and assessment arrangements, </w:t>
      </w:r>
      <w:r w:rsidRPr="00AD1496">
        <w:rPr>
          <w:rFonts w:asciiTheme="majorHAnsi" w:hAnsiTheme="majorHAnsi" w:cstheme="majorHAnsi"/>
          <w:color w:val="000000"/>
        </w:rPr>
        <w:lastRenderedPageBreak/>
        <w:t>including whether the performance indicators adequately measure achievement of the outcomes of this NPA</w:t>
      </w:r>
    </w:p>
    <w:p w14:paraId="70640676" w14:textId="77777777" w:rsidR="00EB0901" w:rsidRPr="00AD1496" w:rsidRDefault="0046611E" w:rsidP="008D175D">
      <w:pPr>
        <w:numPr>
          <w:ilvl w:val="0"/>
          <w:numId w:val="22"/>
        </w:numPr>
        <w:pBdr>
          <w:top w:val="nil"/>
          <w:left w:val="nil"/>
          <w:bottom w:val="nil"/>
          <w:right w:val="nil"/>
          <w:between w:val="nil"/>
        </w:pBdr>
        <w:spacing w:after="0" w:line="240" w:lineRule="auto"/>
        <w:rPr>
          <w:rFonts w:asciiTheme="majorHAnsi" w:hAnsiTheme="majorHAnsi" w:cstheme="majorHAnsi"/>
          <w:color w:val="000000"/>
        </w:rPr>
      </w:pPr>
      <w:r w:rsidRPr="00AD1496">
        <w:rPr>
          <w:rFonts w:asciiTheme="majorHAnsi" w:hAnsiTheme="majorHAnsi" w:cstheme="majorHAnsi"/>
          <w:color w:val="000000"/>
        </w:rPr>
        <w:t xml:space="preserve">Identification of areas for improvement and opportunities to enhance current and future arrangements. </w:t>
      </w:r>
    </w:p>
    <w:p w14:paraId="4858DF04" w14:textId="3D6598EF" w:rsidR="00EB0901" w:rsidRPr="00AD1496" w:rsidRDefault="00EB0901">
      <w:pPr>
        <w:spacing w:after="0" w:line="240" w:lineRule="auto"/>
        <w:rPr>
          <w:rFonts w:asciiTheme="majorHAnsi" w:hAnsiTheme="majorHAnsi" w:cstheme="majorHAnsi"/>
          <w:color w:val="000000"/>
        </w:rPr>
      </w:pPr>
    </w:p>
    <w:p w14:paraId="147089ED" w14:textId="34FB980A"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The review </w:t>
      </w:r>
      <w:r w:rsidR="00B77225" w:rsidRPr="00AD1496">
        <w:rPr>
          <w:rFonts w:asciiTheme="majorHAnsi" w:hAnsiTheme="majorHAnsi" w:cstheme="majorHAnsi"/>
        </w:rPr>
        <w:t xml:space="preserve">was </w:t>
      </w:r>
      <w:r w:rsidRPr="00AD1496">
        <w:rPr>
          <w:rFonts w:asciiTheme="majorHAnsi" w:hAnsiTheme="majorHAnsi" w:cstheme="majorHAnsi"/>
        </w:rPr>
        <w:t>not tasked with reporting on:</w:t>
      </w:r>
      <w:r w:rsidR="006062D8" w:rsidRPr="00AD1496">
        <w:rPr>
          <w:rFonts w:asciiTheme="majorHAnsi" w:hAnsiTheme="majorHAnsi" w:cstheme="majorHAnsi"/>
        </w:rPr>
        <w:t xml:space="preserve"> </w:t>
      </w:r>
    </w:p>
    <w:p w14:paraId="3C680B09" w14:textId="4F42782A" w:rsidR="0046611E" w:rsidRPr="00AD1496" w:rsidRDefault="0046611E" w:rsidP="008D175D">
      <w:pPr>
        <w:numPr>
          <w:ilvl w:val="0"/>
          <w:numId w:val="19"/>
        </w:numPr>
        <w:pBdr>
          <w:top w:val="nil"/>
          <w:left w:val="nil"/>
          <w:bottom w:val="nil"/>
          <w:right w:val="nil"/>
          <w:between w:val="nil"/>
        </w:pBdr>
        <w:spacing w:after="0" w:line="240" w:lineRule="auto"/>
        <w:rPr>
          <w:rFonts w:asciiTheme="majorHAnsi" w:hAnsiTheme="majorHAnsi" w:cstheme="majorHAnsi"/>
          <w:color w:val="000000"/>
        </w:rPr>
      </w:pPr>
      <w:r w:rsidRPr="00AD1496">
        <w:rPr>
          <w:rFonts w:asciiTheme="majorHAnsi" w:hAnsiTheme="majorHAnsi" w:cstheme="majorHAnsi"/>
          <w:color w:val="000000"/>
        </w:rPr>
        <w:t xml:space="preserve">an assessment of the </w:t>
      </w:r>
      <w:r w:rsidRPr="00AD1496">
        <w:rPr>
          <w:rFonts w:asciiTheme="majorHAnsi" w:hAnsiTheme="majorHAnsi" w:cstheme="majorHAnsi"/>
          <w:i/>
          <w:color w:val="000000"/>
        </w:rPr>
        <w:t>Water Act 2007</w:t>
      </w:r>
      <w:r w:rsidRPr="00AD1496">
        <w:rPr>
          <w:rFonts w:asciiTheme="majorHAnsi" w:hAnsiTheme="majorHAnsi" w:cstheme="majorHAnsi"/>
          <w:color w:val="000000"/>
        </w:rPr>
        <w:t xml:space="preserve">, the Basin Plan or the SDL </w:t>
      </w:r>
      <w:r w:rsidR="00AA6FB0" w:rsidRPr="00AD1496">
        <w:rPr>
          <w:rFonts w:asciiTheme="majorHAnsi" w:hAnsiTheme="majorHAnsi" w:cstheme="majorHAnsi"/>
          <w:color w:val="000000"/>
        </w:rPr>
        <w:t>adjustment mechanism</w:t>
      </w:r>
    </w:p>
    <w:p w14:paraId="7E7C2C1C" w14:textId="77777777" w:rsidR="0046611E" w:rsidRPr="00AD1496" w:rsidRDefault="0046611E" w:rsidP="008D175D">
      <w:pPr>
        <w:numPr>
          <w:ilvl w:val="0"/>
          <w:numId w:val="19"/>
        </w:numPr>
        <w:pBdr>
          <w:top w:val="nil"/>
          <w:left w:val="nil"/>
          <w:bottom w:val="nil"/>
          <w:right w:val="nil"/>
          <w:between w:val="nil"/>
        </w:pBdr>
        <w:spacing w:after="0" w:line="240" w:lineRule="auto"/>
        <w:rPr>
          <w:rFonts w:asciiTheme="majorHAnsi" w:hAnsiTheme="majorHAnsi" w:cstheme="majorHAnsi"/>
          <w:color w:val="000000"/>
        </w:rPr>
      </w:pPr>
      <w:r w:rsidRPr="00AD1496">
        <w:rPr>
          <w:rFonts w:asciiTheme="majorHAnsi" w:hAnsiTheme="majorHAnsi" w:cstheme="majorHAnsi"/>
          <w:color w:val="000000"/>
        </w:rPr>
        <w:t>any other matters outside the Terms of Reference.</w:t>
      </w:r>
    </w:p>
    <w:p w14:paraId="7CB53830" w14:textId="77777777" w:rsidR="0046611E" w:rsidRPr="00AD1496" w:rsidRDefault="0046611E" w:rsidP="0046611E">
      <w:pPr>
        <w:pBdr>
          <w:top w:val="nil"/>
          <w:left w:val="nil"/>
          <w:bottom w:val="nil"/>
          <w:right w:val="nil"/>
          <w:between w:val="nil"/>
        </w:pBdr>
        <w:spacing w:after="0" w:line="240" w:lineRule="auto"/>
        <w:rPr>
          <w:rFonts w:asciiTheme="majorHAnsi" w:hAnsiTheme="majorHAnsi" w:cstheme="majorHAnsi"/>
        </w:rPr>
      </w:pPr>
    </w:p>
    <w:p w14:paraId="4773C2EC" w14:textId="77777777" w:rsidR="0046611E" w:rsidRPr="00AD1496" w:rsidRDefault="0046611E" w:rsidP="0046611E">
      <w:pPr>
        <w:spacing w:after="0" w:line="240" w:lineRule="auto"/>
        <w:rPr>
          <w:rFonts w:asciiTheme="majorHAnsi" w:hAnsiTheme="majorHAnsi" w:cstheme="majorHAnsi"/>
          <w:b/>
          <w:color w:val="08193E"/>
          <w:sz w:val="26"/>
          <w:szCs w:val="26"/>
        </w:rPr>
      </w:pPr>
      <w:bookmarkStart w:id="21" w:name="_un5ktgh9kva" w:colFirst="0" w:colLast="0"/>
      <w:bookmarkEnd w:id="21"/>
      <w:r w:rsidRPr="00AD1496">
        <w:rPr>
          <w:rFonts w:asciiTheme="majorHAnsi" w:hAnsiTheme="majorHAnsi" w:cstheme="majorHAnsi"/>
        </w:rPr>
        <w:br w:type="page"/>
      </w:r>
    </w:p>
    <w:p w14:paraId="3F09B971" w14:textId="77777777" w:rsidR="0006447B" w:rsidRPr="00AD1496" w:rsidRDefault="0006447B" w:rsidP="007A065E">
      <w:pPr>
        <w:pStyle w:val="Heading1"/>
        <w:rPr>
          <w:rFonts w:asciiTheme="majorHAnsi" w:hAnsiTheme="majorHAnsi" w:cstheme="majorHAnsi"/>
        </w:rPr>
      </w:pPr>
      <w:bookmarkStart w:id="22" w:name="_Ref11847787"/>
      <w:bookmarkStart w:id="23" w:name="_Toc33700618"/>
      <w:r w:rsidRPr="00AD1496">
        <w:rPr>
          <w:rFonts w:asciiTheme="majorHAnsi" w:hAnsiTheme="majorHAnsi" w:cstheme="majorHAnsi"/>
        </w:rPr>
        <w:lastRenderedPageBreak/>
        <w:t>Methodology</w:t>
      </w:r>
      <w:bookmarkEnd w:id="22"/>
      <w:bookmarkEnd w:id="23"/>
    </w:p>
    <w:p w14:paraId="731BF87E" w14:textId="77777777" w:rsidR="0046611E" w:rsidRPr="00AD1496" w:rsidRDefault="0046611E" w:rsidP="0046611E">
      <w:pPr>
        <w:rPr>
          <w:rFonts w:asciiTheme="majorHAnsi" w:hAnsiTheme="majorHAnsi" w:cstheme="majorHAnsi"/>
        </w:rPr>
      </w:pPr>
      <w:r w:rsidRPr="00AD1496">
        <w:rPr>
          <w:rFonts w:asciiTheme="majorHAnsi" w:hAnsiTheme="majorHAnsi" w:cstheme="majorHAnsi"/>
        </w:rPr>
        <w:t>This chapter outlines the staged approach, key methods and timeline of the Review.</w:t>
      </w:r>
    </w:p>
    <w:p w14:paraId="1318EED1" w14:textId="77777777" w:rsidR="0046611E" w:rsidRPr="00AD1496" w:rsidRDefault="0046611E" w:rsidP="0046611E">
      <w:pPr>
        <w:pStyle w:val="Heading3"/>
        <w:rPr>
          <w:rFonts w:asciiTheme="majorHAnsi" w:hAnsiTheme="majorHAnsi" w:cstheme="majorHAnsi"/>
          <w:sz w:val="28"/>
          <w:szCs w:val="28"/>
        </w:rPr>
      </w:pPr>
      <w:bookmarkStart w:id="24" w:name="_b1z39hwgqhb4" w:colFirst="0" w:colLast="0"/>
      <w:bookmarkEnd w:id="24"/>
      <w:r w:rsidRPr="00AD1496">
        <w:rPr>
          <w:rFonts w:asciiTheme="majorHAnsi" w:hAnsiTheme="majorHAnsi" w:cstheme="majorHAnsi"/>
        </w:rPr>
        <w:t>Staged approach</w:t>
      </w:r>
    </w:p>
    <w:p w14:paraId="3E8E70E9" w14:textId="77777777" w:rsidR="0046611E" w:rsidRPr="00AD1496" w:rsidRDefault="0046611E" w:rsidP="0046611E">
      <w:pPr>
        <w:rPr>
          <w:rFonts w:asciiTheme="majorHAnsi" w:hAnsiTheme="majorHAnsi" w:cstheme="majorHAnsi"/>
        </w:rPr>
      </w:pPr>
      <w:bookmarkStart w:id="25" w:name="_nhgy21uistg7" w:colFirst="0" w:colLast="0"/>
      <w:bookmarkEnd w:id="25"/>
      <w:r w:rsidRPr="00AD1496">
        <w:rPr>
          <w:rFonts w:asciiTheme="majorHAnsi" w:hAnsiTheme="majorHAnsi" w:cstheme="majorHAnsi"/>
        </w:rPr>
        <w:t>The Review used a mixed methods approach and was conducted in three stages.</w:t>
      </w:r>
    </w:p>
    <w:p w14:paraId="65945FAC" w14:textId="602C12B4" w:rsidR="000C78B0" w:rsidRPr="00AD1496" w:rsidRDefault="0046611E" w:rsidP="0046611E">
      <w:pPr>
        <w:rPr>
          <w:rFonts w:asciiTheme="majorHAnsi" w:hAnsiTheme="majorHAnsi" w:cstheme="majorHAnsi"/>
        </w:rPr>
      </w:pPr>
      <w:r w:rsidRPr="00AD1496">
        <w:rPr>
          <w:rFonts w:asciiTheme="majorHAnsi" w:hAnsiTheme="majorHAnsi" w:cstheme="majorHAnsi"/>
        </w:rPr>
        <w:t>The first stage consisted of project scoping and planning and included an inception meeting with the Department. The purpose of this stage was to clarify and confirm our proposed approach and develop a more detailed understanding of the scope of the project,</w:t>
      </w:r>
      <w:r w:rsidR="001957F3" w:rsidRPr="00AD1496">
        <w:rPr>
          <w:rFonts w:asciiTheme="majorHAnsi" w:hAnsiTheme="majorHAnsi" w:cstheme="majorHAnsi"/>
        </w:rPr>
        <w:t xml:space="preserve"> and</w:t>
      </w:r>
      <w:r w:rsidRPr="00AD1496">
        <w:rPr>
          <w:rFonts w:asciiTheme="majorHAnsi" w:hAnsiTheme="majorHAnsi" w:cstheme="majorHAnsi"/>
        </w:rPr>
        <w:t xml:space="preserve"> receive review documents</w:t>
      </w:r>
      <w:r w:rsidR="00EB34DB" w:rsidRPr="00AD1496">
        <w:rPr>
          <w:rFonts w:asciiTheme="majorHAnsi" w:hAnsiTheme="majorHAnsi" w:cstheme="majorHAnsi"/>
        </w:rPr>
        <w:t xml:space="preserve">. </w:t>
      </w:r>
      <w:r w:rsidRPr="00AD1496">
        <w:rPr>
          <w:rFonts w:asciiTheme="majorHAnsi" w:hAnsiTheme="majorHAnsi" w:cstheme="majorHAnsi"/>
        </w:rPr>
        <w:t>The product of this stage was a detailed work plan</w:t>
      </w:r>
      <w:r w:rsidR="00EB34DB" w:rsidRPr="00AD1496">
        <w:rPr>
          <w:rFonts w:asciiTheme="majorHAnsi" w:hAnsiTheme="majorHAnsi" w:cstheme="majorHAnsi"/>
        </w:rPr>
        <w:t xml:space="preserve"> which included a program logic and key review questions</w:t>
      </w:r>
      <w:r w:rsidRPr="00AD1496">
        <w:rPr>
          <w:rFonts w:asciiTheme="majorHAnsi" w:hAnsiTheme="majorHAnsi" w:cstheme="majorHAnsi"/>
        </w:rPr>
        <w:t>.</w:t>
      </w:r>
      <w:r w:rsidR="00EB34DB" w:rsidRPr="00AD1496">
        <w:rPr>
          <w:rFonts w:asciiTheme="majorHAnsi" w:hAnsiTheme="majorHAnsi" w:cstheme="majorHAnsi"/>
        </w:rPr>
        <w:t xml:space="preserve"> </w:t>
      </w:r>
    </w:p>
    <w:p w14:paraId="59FA8C39" w14:textId="496D518B" w:rsidR="00EB34DB" w:rsidRPr="00AD1496" w:rsidRDefault="00EB34DB" w:rsidP="00EB34DB">
      <w:pPr>
        <w:rPr>
          <w:rFonts w:asciiTheme="majorHAnsi" w:hAnsiTheme="majorHAnsi" w:cstheme="majorHAnsi"/>
        </w:rPr>
      </w:pPr>
      <w:r w:rsidRPr="00AD1496">
        <w:rPr>
          <w:rFonts w:asciiTheme="majorHAnsi" w:hAnsiTheme="majorHAnsi" w:cstheme="majorHAnsi"/>
        </w:rPr>
        <w:t>The NPA program logic (</w:t>
      </w:r>
      <w:r w:rsidRPr="00AD1496">
        <w:rPr>
          <w:rFonts w:asciiTheme="majorHAnsi" w:hAnsiTheme="majorHAnsi" w:cstheme="majorHAnsi"/>
        </w:rPr>
        <w:fldChar w:fldCharType="begin"/>
      </w:r>
      <w:r w:rsidRPr="00AD1496">
        <w:rPr>
          <w:rFonts w:asciiTheme="majorHAnsi" w:hAnsiTheme="majorHAnsi" w:cstheme="majorHAnsi"/>
        </w:rPr>
        <w:instrText xml:space="preserve"> REF _Ref18508813 \r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Appendix 1</w:t>
      </w:r>
      <w:r w:rsidRPr="00AD1496">
        <w:rPr>
          <w:rFonts w:asciiTheme="majorHAnsi" w:hAnsiTheme="majorHAnsi" w:cstheme="majorHAnsi"/>
        </w:rPr>
        <w:fldChar w:fldCharType="end"/>
      </w:r>
      <w:r w:rsidRPr="00AD1496">
        <w:rPr>
          <w:rFonts w:asciiTheme="majorHAnsi" w:hAnsiTheme="majorHAnsi" w:cstheme="majorHAnsi"/>
        </w:rPr>
        <w:t>) locates the NPA within the broader set of institutional arrangements</w:t>
      </w:r>
      <w:r w:rsidR="000115BD" w:rsidRPr="00AD1496">
        <w:rPr>
          <w:rFonts w:asciiTheme="majorHAnsi" w:hAnsiTheme="majorHAnsi" w:cstheme="majorHAnsi"/>
        </w:rPr>
        <w:t xml:space="preserve"> and</w:t>
      </w:r>
      <w:r w:rsidRPr="00AD1496">
        <w:rPr>
          <w:rFonts w:asciiTheme="majorHAnsi" w:hAnsiTheme="majorHAnsi" w:cstheme="majorHAnsi"/>
        </w:rPr>
        <w:t xml:space="preserve"> </w:t>
      </w:r>
      <w:r w:rsidR="000115BD" w:rsidRPr="00AD1496">
        <w:rPr>
          <w:rFonts w:asciiTheme="majorHAnsi" w:hAnsiTheme="majorHAnsi" w:cstheme="majorHAnsi"/>
        </w:rPr>
        <w:t xml:space="preserve">the role </w:t>
      </w:r>
      <w:r w:rsidR="000115BD" w:rsidRPr="00AD1496">
        <w:rPr>
          <w:rFonts w:asciiTheme="majorHAnsi" w:hAnsiTheme="majorHAnsi" w:cstheme="majorHAnsi"/>
        </w:rPr>
        <w:lastRenderedPageBreak/>
        <w:t>of the NPA i</w:t>
      </w:r>
      <w:r w:rsidR="001957F3" w:rsidRPr="00AD1496">
        <w:rPr>
          <w:rFonts w:asciiTheme="majorHAnsi" w:hAnsiTheme="majorHAnsi" w:cstheme="majorHAnsi"/>
        </w:rPr>
        <w:t>n</w:t>
      </w:r>
      <w:r w:rsidR="000115BD" w:rsidRPr="00AD1496">
        <w:rPr>
          <w:rFonts w:asciiTheme="majorHAnsi" w:hAnsiTheme="majorHAnsi" w:cstheme="majorHAnsi"/>
        </w:rPr>
        <w:t xml:space="preserve"> helping achieve water reform outcomes, which are shown as outside the scope of the NPA review. </w:t>
      </w:r>
    </w:p>
    <w:p w14:paraId="3B72C5BD" w14:textId="6A730A73" w:rsidR="00190742" w:rsidRPr="00AD1496" w:rsidRDefault="0046611E" w:rsidP="0046611E">
      <w:pPr>
        <w:rPr>
          <w:rFonts w:asciiTheme="majorHAnsi" w:hAnsiTheme="majorHAnsi" w:cstheme="majorHAnsi"/>
        </w:rPr>
      </w:pPr>
      <w:r w:rsidRPr="00AD1496">
        <w:rPr>
          <w:rFonts w:asciiTheme="majorHAnsi" w:hAnsiTheme="majorHAnsi" w:cstheme="majorHAnsi"/>
        </w:rPr>
        <w:t xml:space="preserve">The second stage consisted of data collection and analysis. During this stage we conducted a desktop review of NPA documents and interviewed stakeholders from Commonwealth agencies and States. In conducting the desktop review, we reviewed the Department’s assessments of States’ </w:t>
      </w:r>
      <w:r w:rsidR="003E2D4A" w:rsidRPr="00AD1496">
        <w:rPr>
          <w:rFonts w:asciiTheme="majorHAnsi" w:hAnsiTheme="majorHAnsi" w:cstheme="majorHAnsi"/>
        </w:rPr>
        <w:t xml:space="preserve">annual </w:t>
      </w:r>
      <w:r w:rsidRPr="00AD1496">
        <w:rPr>
          <w:rFonts w:asciiTheme="majorHAnsi" w:hAnsiTheme="majorHAnsi" w:cstheme="majorHAnsi"/>
        </w:rPr>
        <w:t xml:space="preserve">Statements of Assurance (SOA) and the associated information which was provided by </w:t>
      </w:r>
      <w:r w:rsidR="001957F3" w:rsidRPr="00AD1496">
        <w:rPr>
          <w:rFonts w:asciiTheme="majorHAnsi" w:hAnsiTheme="majorHAnsi" w:cstheme="majorHAnsi"/>
        </w:rPr>
        <w:t xml:space="preserve">the </w:t>
      </w:r>
      <w:r w:rsidRPr="00AD1496">
        <w:rPr>
          <w:rFonts w:asciiTheme="majorHAnsi" w:hAnsiTheme="majorHAnsi" w:cstheme="majorHAnsi"/>
        </w:rPr>
        <w:t xml:space="preserve">CEWO and MDBA to assist the Department in making their assessments. The document review also included the mid-term review of the NPA, the ANAO reviews and </w:t>
      </w:r>
      <w:r w:rsidR="00C27495" w:rsidRPr="00AD1496">
        <w:rPr>
          <w:rFonts w:asciiTheme="majorHAnsi" w:hAnsiTheme="majorHAnsi" w:cstheme="majorHAnsi"/>
        </w:rPr>
        <w:t>Productivity Commission (</w:t>
      </w:r>
      <w:r w:rsidRPr="00AD1496">
        <w:rPr>
          <w:rFonts w:asciiTheme="majorHAnsi" w:hAnsiTheme="majorHAnsi" w:cstheme="majorHAnsi"/>
        </w:rPr>
        <w:t>PC</w:t>
      </w:r>
      <w:r w:rsidR="00C27495" w:rsidRPr="00AD1496">
        <w:rPr>
          <w:rFonts w:asciiTheme="majorHAnsi" w:hAnsiTheme="majorHAnsi" w:cstheme="majorHAnsi"/>
        </w:rPr>
        <w:t>)</w:t>
      </w:r>
      <w:r w:rsidRPr="00AD1496">
        <w:rPr>
          <w:rFonts w:asciiTheme="majorHAnsi" w:hAnsiTheme="majorHAnsi" w:cstheme="majorHAnsi"/>
        </w:rPr>
        <w:t xml:space="preserve"> inquiry report. </w:t>
      </w:r>
    </w:p>
    <w:p w14:paraId="77FFB69E" w14:textId="7B5AA53D" w:rsidR="00190742" w:rsidRPr="00AD1496" w:rsidRDefault="00190742" w:rsidP="0046611E">
      <w:pPr>
        <w:rPr>
          <w:rFonts w:asciiTheme="majorHAnsi" w:hAnsiTheme="majorHAnsi" w:cstheme="majorHAnsi"/>
        </w:rPr>
      </w:pPr>
      <w:r w:rsidRPr="00AD1496">
        <w:rPr>
          <w:rFonts w:asciiTheme="majorHAnsi" w:hAnsiTheme="majorHAnsi" w:cstheme="majorHAnsi"/>
        </w:rPr>
        <w:t xml:space="preserve">The document review had two main objectives—to review and summarise the results of Basin States’ annual assessments and to track whether the advice of </w:t>
      </w:r>
      <w:r w:rsidR="001957F3" w:rsidRPr="00AD1496">
        <w:rPr>
          <w:rFonts w:asciiTheme="majorHAnsi" w:hAnsiTheme="majorHAnsi" w:cstheme="majorHAnsi"/>
        </w:rPr>
        <w:t xml:space="preserve">the </w:t>
      </w:r>
      <w:r w:rsidRPr="00AD1496">
        <w:rPr>
          <w:rFonts w:asciiTheme="majorHAnsi" w:hAnsiTheme="majorHAnsi" w:cstheme="majorHAnsi"/>
        </w:rPr>
        <w:t xml:space="preserve">CEWO and MDBA provided to the Department was considered and included in annual assessments. </w:t>
      </w:r>
    </w:p>
    <w:p w14:paraId="6B25930D" w14:textId="01DE1A37" w:rsidR="0046611E" w:rsidRPr="00AD1496" w:rsidRDefault="0046611E" w:rsidP="0046611E">
      <w:pPr>
        <w:rPr>
          <w:rFonts w:asciiTheme="majorHAnsi" w:hAnsiTheme="majorHAnsi" w:cstheme="majorHAnsi"/>
        </w:rPr>
      </w:pPr>
      <w:r w:rsidRPr="00AD1496">
        <w:rPr>
          <w:rFonts w:asciiTheme="majorHAnsi" w:hAnsiTheme="majorHAnsi" w:cstheme="majorHAnsi"/>
        </w:rPr>
        <w:lastRenderedPageBreak/>
        <w:t xml:space="preserve">In reviewing these documents, we focussed on understanding how advice from </w:t>
      </w:r>
      <w:r w:rsidR="001957F3" w:rsidRPr="00AD1496">
        <w:rPr>
          <w:rFonts w:asciiTheme="majorHAnsi" w:hAnsiTheme="majorHAnsi" w:cstheme="majorHAnsi"/>
        </w:rPr>
        <w:t xml:space="preserve">the </w:t>
      </w:r>
      <w:r w:rsidRPr="00AD1496">
        <w:rPr>
          <w:rFonts w:asciiTheme="majorHAnsi" w:hAnsiTheme="majorHAnsi" w:cstheme="majorHAnsi"/>
        </w:rPr>
        <w:t>CEWO and MDBA was taken up by the Department in their assessment of States’ progress against the milestones. The document review helped refine key review questions and informed the stakeholder reviews.</w:t>
      </w:r>
      <w:r w:rsidR="00190742" w:rsidRPr="00AD1496">
        <w:rPr>
          <w:rFonts w:asciiTheme="majorHAnsi" w:hAnsiTheme="majorHAnsi" w:cstheme="majorHAnsi"/>
        </w:rPr>
        <w:t xml:space="preserve"> For a full list of documents reviewed, please see </w:t>
      </w:r>
      <w:r w:rsidR="00190742" w:rsidRPr="00AD1496">
        <w:rPr>
          <w:rFonts w:asciiTheme="majorHAnsi" w:hAnsiTheme="majorHAnsi" w:cstheme="majorHAnsi"/>
          <w:highlight w:val="yellow"/>
        </w:rPr>
        <w:fldChar w:fldCharType="begin"/>
      </w:r>
      <w:r w:rsidR="00190742" w:rsidRPr="00AD1496">
        <w:rPr>
          <w:rFonts w:asciiTheme="majorHAnsi" w:hAnsiTheme="majorHAnsi" w:cstheme="majorHAnsi"/>
        </w:rPr>
        <w:instrText xml:space="preserve"> REF _Ref14082235 \w \h </w:instrText>
      </w:r>
      <w:r w:rsidR="00AD1496">
        <w:rPr>
          <w:rFonts w:asciiTheme="majorHAnsi" w:hAnsiTheme="majorHAnsi" w:cstheme="majorHAnsi"/>
          <w:highlight w:val="yellow"/>
        </w:rPr>
        <w:instrText xml:space="preserve"> \* MERGEFORMAT </w:instrText>
      </w:r>
      <w:r w:rsidR="00190742" w:rsidRPr="00AD1496">
        <w:rPr>
          <w:rFonts w:asciiTheme="majorHAnsi" w:hAnsiTheme="majorHAnsi" w:cstheme="majorHAnsi"/>
          <w:highlight w:val="yellow"/>
        </w:rPr>
      </w:r>
      <w:r w:rsidR="00190742" w:rsidRPr="00AD1496">
        <w:rPr>
          <w:rFonts w:asciiTheme="majorHAnsi" w:hAnsiTheme="majorHAnsi" w:cstheme="majorHAnsi"/>
          <w:highlight w:val="yellow"/>
        </w:rPr>
        <w:fldChar w:fldCharType="separate"/>
      </w:r>
      <w:r w:rsidR="00DF313B">
        <w:rPr>
          <w:rFonts w:asciiTheme="majorHAnsi" w:hAnsiTheme="majorHAnsi" w:cstheme="majorHAnsi"/>
        </w:rPr>
        <w:t>Appendix 4</w:t>
      </w:r>
      <w:r w:rsidR="00190742" w:rsidRPr="00AD1496">
        <w:rPr>
          <w:rFonts w:asciiTheme="majorHAnsi" w:hAnsiTheme="majorHAnsi" w:cstheme="majorHAnsi"/>
          <w:highlight w:val="yellow"/>
        </w:rPr>
        <w:fldChar w:fldCharType="end"/>
      </w:r>
      <w:r w:rsidR="00190742" w:rsidRPr="00AD1496">
        <w:rPr>
          <w:rFonts w:asciiTheme="majorHAnsi" w:hAnsiTheme="majorHAnsi" w:cstheme="majorHAnsi"/>
        </w:rPr>
        <w:t>.</w:t>
      </w:r>
    </w:p>
    <w:p w14:paraId="1B87404D" w14:textId="13F5ED0E"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Throughout June we interviewed 11 stakeholders. These interviews were conducted over the phone with stakeholders from state and </w:t>
      </w:r>
      <w:r w:rsidR="00C42104" w:rsidRPr="00AD1496">
        <w:rPr>
          <w:rFonts w:asciiTheme="majorHAnsi" w:hAnsiTheme="majorHAnsi" w:cstheme="majorHAnsi"/>
        </w:rPr>
        <w:t xml:space="preserve">Australian Government </w:t>
      </w:r>
      <w:r w:rsidRPr="00AD1496">
        <w:rPr>
          <w:rFonts w:asciiTheme="majorHAnsi" w:hAnsiTheme="majorHAnsi" w:cstheme="majorHAnsi"/>
        </w:rPr>
        <w:t xml:space="preserve">departments and agencies. A list of agencies interviewed </w:t>
      </w:r>
      <w:r w:rsidR="00DC69DE" w:rsidRPr="00AD1496">
        <w:rPr>
          <w:rFonts w:asciiTheme="majorHAnsi" w:hAnsiTheme="majorHAnsi" w:cstheme="majorHAnsi"/>
        </w:rPr>
        <w:t>is provided</w:t>
      </w:r>
      <w:r w:rsidRPr="00AD1496">
        <w:rPr>
          <w:rFonts w:asciiTheme="majorHAnsi" w:hAnsiTheme="majorHAnsi" w:cstheme="majorHAnsi"/>
        </w:rPr>
        <w:t xml:space="preserve"> below. These interviews provided a deeper understanding, complementing the document review’s findings. </w:t>
      </w:r>
    </w:p>
    <w:p w14:paraId="2EBA9713" w14:textId="38CAFB44"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The final stage was reporting of the results. We submitted the draft report on </w:t>
      </w:r>
      <w:r w:rsidR="00644AA2" w:rsidRPr="00AD1496">
        <w:rPr>
          <w:rFonts w:asciiTheme="majorHAnsi" w:hAnsiTheme="majorHAnsi" w:cstheme="majorHAnsi"/>
        </w:rPr>
        <w:t>15 July</w:t>
      </w:r>
      <w:r w:rsidR="009A1F10" w:rsidRPr="00AD1496">
        <w:rPr>
          <w:rFonts w:asciiTheme="majorHAnsi" w:hAnsiTheme="majorHAnsi" w:cstheme="majorHAnsi"/>
        </w:rPr>
        <w:t xml:space="preserve"> 2019</w:t>
      </w:r>
      <w:r w:rsidR="003F20D3" w:rsidRPr="00AD1496">
        <w:rPr>
          <w:rFonts w:asciiTheme="majorHAnsi" w:hAnsiTheme="majorHAnsi" w:cstheme="majorHAnsi"/>
        </w:rPr>
        <w:t>, also providing a copy to Treasury and PM&amp;C at the Department’s request. Following the Department’s review</w:t>
      </w:r>
      <w:r w:rsidR="001957F3" w:rsidRPr="00AD1496">
        <w:rPr>
          <w:rFonts w:asciiTheme="majorHAnsi" w:hAnsiTheme="majorHAnsi" w:cstheme="majorHAnsi"/>
        </w:rPr>
        <w:t xml:space="preserve"> and further changes</w:t>
      </w:r>
      <w:r w:rsidR="003F20D3" w:rsidRPr="00AD1496">
        <w:rPr>
          <w:rFonts w:asciiTheme="majorHAnsi" w:hAnsiTheme="majorHAnsi" w:cstheme="majorHAnsi"/>
        </w:rPr>
        <w:t xml:space="preserve">, the </w:t>
      </w:r>
      <w:r w:rsidR="001957F3" w:rsidRPr="00AD1496">
        <w:rPr>
          <w:rFonts w:asciiTheme="majorHAnsi" w:hAnsiTheme="majorHAnsi" w:cstheme="majorHAnsi"/>
        </w:rPr>
        <w:t xml:space="preserve">draft report </w:t>
      </w:r>
      <w:r w:rsidR="003576A2" w:rsidRPr="00AD1496">
        <w:rPr>
          <w:rFonts w:asciiTheme="majorHAnsi" w:hAnsiTheme="majorHAnsi" w:cstheme="majorHAnsi"/>
        </w:rPr>
        <w:t xml:space="preserve">was </w:t>
      </w:r>
      <w:r w:rsidR="003F20D3" w:rsidRPr="00AD1496">
        <w:rPr>
          <w:rFonts w:asciiTheme="majorHAnsi" w:hAnsiTheme="majorHAnsi" w:cstheme="majorHAnsi"/>
        </w:rPr>
        <w:t>circulated to Basin States for their response</w:t>
      </w:r>
      <w:r w:rsidR="001957F3" w:rsidRPr="00AD1496">
        <w:rPr>
          <w:rFonts w:asciiTheme="majorHAnsi" w:hAnsiTheme="majorHAnsi" w:cstheme="majorHAnsi"/>
        </w:rPr>
        <w:t xml:space="preserve">, and </w:t>
      </w:r>
      <w:r w:rsidR="001957F3" w:rsidRPr="00AD1496">
        <w:rPr>
          <w:rFonts w:asciiTheme="majorHAnsi" w:hAnsiTheme="majorHAnsi" w:cstheme="majorHAnsi"/>
        </w:rPr>
        <w:lastRenderedPageBreak/>
        <w:t>to the Department for final consideration before completion of the final report</w:t>
      </w:r>
      <w:r w:rsidR="003F20D3" w:rsidRPr="00AD1496">
        <w:rPr>
          <w:rFonts w:asciiTheme="majorHAnsi" w:hAnsiTheme="majorHAnsi" w:cstheme="majorHAnsi"/>
        </w:rPr>
        <w:t>.</w:t>
      </w:r>
    </w:p>
    <w:p w14:paraId="47428A38" w14:textId="77777777" w:rsidR="0046611E" w:rsidRPr="00AD1496" w:rsidRDefault="0046611E" w:rsidP="0046611E">
      <w:pPr>
        <w:pStyle w:val="Heading3"/>
        <w:rPr>
          <w:rFonts w:asciiTheme="majorHAnsi" w:hAnsiTheme="majorHAnsi" w:cstheme="majorHAnsi"/>
        </w:rPr>
      </w:pPr>
      <w:bookmarkStart w:id="26" w:name="_3x0gyt57r2tj" w:colFirst="0" w:colLast="0"/>
      <w:bookmarkEnd w:id="26"/>
      <w:r w:rsidRPr="00AD1496">
        <w:rPr>
          <w:rFonts w:asciiTheme="majorHAnsi" w:hAnsiTheme="majorHAnsi" w:cstheme="majorHAnsi"/>
        </w:rPr>
        <w:t>Key stakeholder interviews</w:t>
      </w:r>
    </w:p>
    <w:p w14:paraId="5EBD69C6" w14:textId="77777777" w:rsidR="0046611E" w:rsidRPr="00AD1496" w:rsidRDefault="0046611E" w:rsidP="0046611E">
      <w:pPr>
        <w:rPr>
          <w:rFonts w:asciiTheme="majorHAnsi" w:hAnsiTheme="majorHAnsi" w:cstheme="majorHAnsi"/>
        </w:rPr>
      </w:pPr>
      <w:r w:rsidRPr="00AD1496">
        <w:rPr>
          <w:rFonts w:asciiTheme="majorHAnsi" w:hAnsiTheme="majorHAnsi" w:cstheme="majorHAnsi"/>
        </w:rPr>
        <w:t>We interviewed representatives from each Basin State and all central agencies involved in the assessment arrangement of the NPA. In total, we held 11 interviews with key staff representing the following agencies:</w:t>
      </w:r>
    </w:p>
    <w:p w14:paraId="238FAC32" w14:textId="1EBFC68E"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00B93A51" w:rsidRPr="00AD1496">
        <w:rPr>
          <w:rFonts w:asciiTheme="majorHAnsi" w:hAnsiTheme="majorHAnsi" w:cstheme="majorHAnsi"/>
        </w:rPr>
        <w:t xml:space="preserve">The </w:t>
      </w:r>
      <w:r w:rsidRPr="00AD1496">
        <w:rPr>
          <w:rFonts w:asciiTheme="majorHAnsi" w:hAnsiTheme="majorHAnsi" w:cstheme="majorHAnsi"/>
        </w:rPr>
        <w:t>Treasury</w:t>
      </w:r>
    </w:p>
    <w:p w14:paraId="59CDB6C8"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 xml:space="preserve">Department of </w:t>
      </w:r>
      <w:r w:rsidR="00225AA3" w:rsidRPr="00AD1496">
        <w:rPr>
          <w:rFonts w:asciiTheme="majorHAnsi" w:hAnsiTheme="majorHAnsi" w:cstheme="majorHAnsi"/>
        </w:rPr>
        <w:t xml:space="preserve">the </w:t>
      </w:r>
      <w:r w:rsidRPr="00AD1496">
        <w:rPr>
          <w:rFonts w:asciiTheme="majorHAnsi" w:hAnsiTheme="majorHAnsi" w:cstheme="majorHAnsi"/>
        </w:rPr>
        <w:t>Prime Minister and Cabinet</w:t>
      </w:r>
    </w:p>
    <w:p w14:paraId="43E9EE79"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Murray-Darling Basin Authority</w:t>
      </w:r>
    </w:p>
    <w:p w14:paraId="006E6D4E"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Commonwealth Environmental Water Office</w:t>
      </w:r>
    </w:p>
    <w:p w14:paraId="2763F88B" w14:textId="3E310709"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 xml:space="preserve">Department of Agriculture </w:t>
      </w:r>
    </w:p>
    <w:p w14:paraId="4142B09B"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ACT Environment Planning and Sustainable Development Directorate</w:t>
      </w:r>
    </w:p>
    <w:p w14:paraId="367E13EC"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NSW Department of Industry</w:t>
      </w:r>
    </w:p>
    <w:p w14:paraId="1DCF0C38"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Queensland Department of Natural Resources, Mines and Energy</w:t>
      </w:r>
    </w:p>
    <w:p w14:paraId="2B147EC3"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t xml:space="preserve"> </w:t>
      </w:r>
      <w:r w:rsidRPr="00AD1496">
        <w:rPr>
          <w:rFonts w:asciiTheme="majorHAnsi" w:hAnsiTheme="majorHAnsi" w:cstheme="majorHAnsi"/>
        </w:rPr>
        <w:t>South Australian Department of Environment and Water</w:t>
      </w:r>
    </w:p>
    <w:p w14:paraId="4C4FBE14" w14:textId="77777777" w:rsidR="0046611E" w:rsidRPr="00AD1496" w:rsidRDefault="0046611E" w:rsidP="008D175D">
      <w:pPr>
        <w:numPr>
          <w:ilvl w:val="0"/>
          <w:numId w:val="21"/>
        </w:numPr>
        <w:pBdr>
          <w:top w:val="nil"/>
          <w:left w:val="nil"/>
          <w:bottom w:val="nil"/>
          <w:right w:val="nil"/>
          <w:between w:val="nil"/>
        </w:pBdr>
        <w:spacing w:after="0" w:line="240" w:lineRule="auto"/>
        <w:rPr>
          <w:rFonts w:asciiTheme="majorHAnsi" w:hAnsiTheme="majorHAnsi" w:cstheme="majorHAnsi"/>
        </w:rPr>
      </w:pPr>
      <w:r w:rsidRPr="00AD1496">
        <w:rPr>
          <w:rFonts w:asciiTheme="majorHAnsi" w:hAnsiTheme="majorHAnsi" w:cstheme="majorHAnsi"/>
          <w:sz w:val="14"/>
          <w:szCs w:val="14"/>
        </w:rPr>
        <w:lastRenderedPageBreak/>
        <w:t xml:space="preserve"> </w:t>
      </w:r>
      <w:r w:rsidRPr="00AD1496">
        <w:rPr>
          <w:rFonts w:asciiTheme="majorHAnsi" w:hAnsiTheme="majorHAnsi" w:cstheme="majorHAnsi"/>
        </w:rPr>
        <w:t>Victorian Department of Environment, Land, Water and Planning</w:t>
      </w:r>
    </w:p>
    <w:p w14:paraId="274237E4" w14:textId="77777777" w:rsidR="000C78B0" w:rsidRPr="00AD1496" w:rsidRDefault="000C78B0" w:rsidP="00691206">
      <w:pPr>
        <w:pStyle w:val="Heading3"/>
        <w:rPr>
          <w:rFonts w:asciiTheme="majorHAnsi" w:hAnsiTheme="majorHAnsi" w:cstheme="majorHAnsi"/>
        </w:rPr>
      </w:pPr>
      <w:bookmarkStart w:id="27" w:name="_t26mpqx6h7z1" w:colFirst="0" w:colLast="0"/>
      <w:bookmarkStart w:id="28" w:name="_Ref17967305"/>
      <w:bookmarkEnd w:id="27"/>
      <w:r w:rsidRPr="00AD1496">
        <w:rPr>
          <w:rFonts w:asciiTheme="majorHAnsi" w:hAnsiTheme="majorHAnsi" w:cstheme="majorHAnsi"/>
        </w:rPr>
        <w:t>Review questions</w:t>
      </w:r>
      <w:bookmarkEnd w:id="28"/>
    </w:p>
    <w:p w14:paraId="3266EB10" w14:textId="77777777" w:rsidR="000C78B0" w:rsidRPr="00AD1496" w:rsidRDefault="000C78B0" w:rsidP="000C78B0">
      <w:pPr>
        <w:rPr>
          <w:rFonts w:asciiTheme="majorHAnsi" w:hAnsiTheme="majorHAnsi" w:cstheme="majorHAnsi"/>
        </w:rPr>
      </w:pPr>
      <w:r w:rsidRPr="00AD1496">
        <w:rPr>
          <w:rFonts w:asciiTheme="majorHAnsi" w:hAnsiTheme="majorHAnsi" w:cstheme="majorHAnsi"/>
        </w:rPr>
        <w:t>The following table outlines key review questions and their related ToR.</w:t>
      </w:r>
    </w:p>
    <w:p w14:paraId="3154985C" w14:textId="77777777" w:rsidR="000C78B0" w:rsidRPr="00AD1496" w:rsidRDefault="000C78B0" w:rsidP="000C78B0">
      <w:pPr>
        <w:pStyle w:val="TableHeading"/>
        <w:rPr>
          <w:rFonts w:asciiTheme="majorHAnsi" w:hAnsiTheme="majorHAnsi" w:cstheme="majorHAnsi"/>
        </w:rPr>
      </w:pPr>
      <w:bookmarkStart w:id="29" w:name="_Toc14105547"/>
      <w:r w:rsidRPr="00AD1496">
        <w:rPr>
          <w:rFonts w:asciiTheme="majorHAnsi" w:hAnsiTheme="majorHAnsi" w:cstheme="majorHAnsi"/>
        </w:rPr>
        <w:t>Terms of reference and final review questions</w:t>
      </w:r>
      <w:bookmarkEnd w:id="29"/>
    </w:p>
    <w:tbl>
      <w:tblPr>
        <w:tblStyle w:val="ARTDTable"/>
        <w:tblW w:w="9013" w:type="dxa"/>
        <w:tblLayout w:type="fixed"/>
        <w:tblLook w:val="04A0" w:firstRow="1" w:lastRow="0" w:firstColumn="1" w:lastColumn="0" w:noHBand="0" w:noVBand="1"/>
      </w:tblPr>
      <w:tblGrid>
        <w:gridCol w:w="3344"/>
        <w:gridCol w:w="5669"/>
      </w:tblGrid>
      <w:tr w:rsidR="000C78B0" w:rsidRPr="00AD1496" w14:paraId="6B617BD4" w14:textId="77777777" w:rsidTr="00F12881">
        <w:trPr>
          <w:cnfStyle w:val="100000000000" w:firstRow="1" w:lastRow="0" w:firstColumn="0" w:lastColumn="0" w:oddVBand="0" w:evenVBand="0" w:oddHBand="0" w:evenHBand="0" w:firstRowFirstColumn="0" w:firstRowLastColumn="0" w:lastRowFirstColumn="0" w:lastRowLastColumn="0"/>
          <w:trHeight w:val="620"/>
        </w:trPr>
        <w:tc>
          <w:tcPr>
            <w:tcW w:w="3344" w:type="dxa"/>
          </w:tcPr>
          <w:p w14:paraId="1565C935" w14:textId="77777777" w:rsidR="000C78B0" w:rsidRPr="00AD1496" w:rsidRDefault="000C78B0" w:rsidP="00F12881">
            <w:pPr>
              <w:pStyle w:val="Tablebodytext"/>
              <w:rPr>
                <w:rFonts w:asciiTheme="majorHAnsi" w:hAnsiTheme="majorHAnsi" w:cstheme="majorHAnsi"/>
                <w:b/>
              </w:rPr>
            </w:pPr>
            <w:r w:rsidRPr="00AD1496">
              <w:rPr>
                <w:rFonts w:asciiTheme="majorHAnsi" w:hAnsiTheme="majorHAnsi" w:cstheme="majorHAnsi"/>
                <w:b/>
              </w:rPr>
              <w:t>Terms of reference</w:t>
            </w:r>
          </w:p>
        </w:tc>
        <w:tc>
          <w:tcPr>
            <w:tcW w:w="5669" w:type="dxa"/>
          </w:tcPr>
          <w:p w14:paraId="7CE4AA2D" w14:textId="77777777" w:rsidR="000C78B0" w:rsidRPr="00AD1496" w:rsidRDefault="000C78B0" w:rsidP="00F12881">
            <w:pPr>
              <w:pStyle w:val="Tablebodytext"/>
              <w:rPr>
                <w:rFonts w:asciiTheme="majorHAnsi" w:hAnsiTheme="majorHAnsi" w:cstheme="majorHAnsi"/>
                <w:b/>
              </w:rPr>
            </w:pPr>
            <w:r w:rsidRPr="00AD1496">
              <w:rPr>
                <w:rFonts w:asciiTheme="majorHAnsi" w:hAnsiTheme="majorHAnsi" w:cstheme="majorHAnsi"/>
                <w:b/>
              </w:rPr>
              <w:t>Review questions</w:t>
            </w:r>
          </w:p>
        </w:tc>
      </w:tr>
      <w:tr w:rsidR="000C78B0" w:rsidRPr="00AD1496" w14:paraId="4291B3A7" w14:textId="77777777" w:rsidTr="00F12881">
        <w:tc>
          <w:tcPr>
            <w:tcW w:w="3344" w:type="dxa"/>
            <w:vMerge w:val="restart"/>
          </w:tcPr>
          <w:p w14:paraId="15D85B0C"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 xml:space="preserve">Assessment of the effectiveness of the NPA in contributing to the Murray-Darling Basin water reforms, specifically the extent to which: </w:t>
            </w:r>
          </w:p>
          <w:p w14:paraId="2829858C" w14:textId="77777777" w:rsidR="000C78B0" w:rsidRPr="00AD1496" w:rsidRDefault="000C78B0" w:rsidP="00F12881">
            <w:pPr>
              <w:pStyle w:val="Tablebullet"/>
              <w:rPr>
                <w:rFonts w:asciiTheme="majorHAnsi" w:hAnsiTheme="majorHAnsi" w:cstheme="majorHAnsi"/>
              </w:rPr>
            </w:pPr>
            <w:r w:rsidRPr="00AD1496">
              <w:rPr>
                <w:rFonts w:asciiTheme="majorHAnsi" w:hAnsiTheme="majorHAnsi" w:cstheme="majorHAnsi"/>
              </w:rPr>
              <w:t xml:space="preserve">the NPA has supported the achievement of the milestones and outputs </w:t>
            </w:r>
          </w:p>
          <w:p w14:paraId="5BF50973" w14:textId="77777777" w:rsidR="000C78B0" w:rsidRPr="00AD1496" w:rsidRDefault="000C78B0" w:rsidP="00F12881">
            <w:pPr>
              <w:pStyle w:val="Tablebullet"/>
              <w:rPr>
                <w:rFonts w:asciiTheme="majorHAnsi" w:hAnsiTheme="majorHAnsi" w:cstheme="majorHAnsi"/>
              </w:rPr>
            </w:pPr>
            <w:r w:rsidRPr="00AD1496">
              <w:rPr>
                <w:rFonts w:asciiTheme="majorHAnsi" w:hAnsiTheme="majorHAnsi" w:cstheme="majorHAnsi"/>
              </w:rPr>
              <w:t>the milestones and outputs have supported achievement of the NPA objectives and outcomes</w:t>
            </w:r>
          </w:p>
          <w:p w14:paraId="62786674" w14:textId="77777777" w:rsidR="000C78B0" w:rsidRPr="00AD1496" w:rsidRDefault="000C78B0" w:rsidP="00F12881">
            <w:pPr>
              <w:pStyle w:val="Tablebodytext"/>
              <w:rPr>
                <w:rFonts w:asciiTheme="majorHAnsi" w:hAnsiTheme="majorHAnsi" w:cstheme="majorHAnsi"/>
                <w:color w:val="000000"/>
                <w:szCs w:val="20"/>
              </w:rPr>
            </w:pPr>
          </w:p>
        </w:tc>
        <w:tc>
          <w:tcPr>
            <w:tcW w:w="5669" w:type="dxa"/>
          </w:tcPr>
          <w:p w14:paraId="3FFF5CA3"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To what extent are the expected standards and outcomes of the NPA clear to Basin States and other key stakeholders? Have assessments since the mid-term review clearly specified expectations for future performance?</w:t>
            </w:r>
          </w:p>
        </w:tc>
      </w:tr>
      <w:tr w:rsidR="000C78B0" w:rsidRPr="00AD1496" w14:paraId="4DD52C7F" w14:textId="77777777" w:rsidTr="00F12881">
        <w:tc>
          <w:tcPr>
            <w:tcW w:w="3344" w:type="dxa"/>
            <w:vMerge/>
          </w:tcPr>
          <w:p w14:paraId="6AA5F0B9" w14:textId="77777777" w:rsidR="000C78B0" w:rsidRPr="00AD1496" w:rsidRDefault="000C78B0" w:rsidP="00F12881">
            <w:pPr>
              <w:pStyle w:val="Tablebodytext"/>
              <w:rPr>
                <w:rFonts w:asciiTheme="majorHAnsi" w:hAnsiTheme="majorHAnsi" w:cstheme="majorHAnsi"/>
                <w:color w:val="000000"/>
                <w:sz w:val="18"/>
                <w:szCs w:val="18"/>
              </w:rPr>
            </w:pPr>
          </w:p>
        </w:tc>
        <w:tc>
          <w:tcPr>
            <w:tcW w:w="5669" w:type="dxa"/>
          </w:tcPr>
          <w:p w14:paraId="7B10C7FD"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While implementing the NPA, was there a shared understanding among Basin States about the objectives and intended outputs, outcomes and milestones of the NPA? Were these sufficiently clearly specified within the NPA to enable effective progress/ milestone reporting?</w:t>
            </w:r>
          </w:p>
        </w:tc>
      </w:tr>
      <w:tr w:rsidR="000C78B0" w:rsidRPr="00AD1496" w14:paraId="1474E5DA" w14:textId="77777777" w:rsidTr="00F12881">
        <w:tc>
          <w:tcPr>
            <w:tcW w:w="3344" w:type="dxa"/>
            <w:vMerge/>
          </w:tcPr>
          <w:p w14:paraId="0618DA15" w14:textId="77777777" w:rsidR="000C78B0" w:rsidRPr="00AD1496" w:rsidRDefault="000C78B0" w:rsidP="00F12881">
            <w:pPr>
              <w:pStyle w:val="Tablebodytext"/>
              <w:rPr>
                <w:rFonts w:asciiTheme="majorHAnsi" w:hAnsiTheme="majorHAnsi" w:cstheme="majorHAnsi"/>
                <w:color w:val="000000"/>
                <w:sz w:val="18"/>
                <w:szCs w:val="18"/>
              </w:rPr>
            </w:pPr>
          </w:p>
        </w:tc>
        <w:tc>
          <w:tcPr>
            <w:tcW w:w="5669" w:type="dxa"/>
          </w:tcPr>
          <w:p w14:paraId="02731839"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How has the NPA contributed to Basin States implementing water reform in the Murray-Darling Basin?</w:t>
            </w:r>
          </w:p>
        </w:tc>
      </w:tr>
      <w:tr w:rsidR="000C78B0" w:rsidRPr="00AD1496" w14:paraId="42D2771B" w14:textId="77777777" w:rsidTr="00F12881">
        <w:tc>
          <w:tcPr>
            <w:tcW w:w="3344" w:type="dxa"/>
            <w:vMerge w:val="restart"/>
          </w:tcPr>
          <w:p w14:paraId="63A296F1"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 xml:space="preserve">Assessment of the operations and efficiency of the implementation </w:t>
            </w:r>
            <w:r w:rsidRPr="00AD1496">
              <w:rPr>
                <w:rFonts w:asciiTheme="majorHAnsi" w:hAnsiTheme="majorHAnsi" w:cstheme="majorHAnsi"/>
                <w:color w:val="000000"/>
                <w:szCs w:val="20"/>
              </w:rPr>
              <w:lastRenderedPageBreak/>
              <w:t xml:space="preserve">arrangements in the NPA, specifically: </w:t>
            </w:r>
          </w:p>
          <w:p w14:paraId="6F85759D" w14:textId="77777777" w:rsidR="000C78B0" w:rsidRPr="00AD1496" w:rsidRDefault="000C78B0" w:rsidP="00F12881">
            <w:pPr>
              <w:pStyle w:val="Tablebullet"/>
              <w:rPr>
                <w:rFonts w:asciiTheme="majorHAnsi" w:hAnsiTheme="majorHAnsi" w:cstheme="majorHAnsi"/>
              </w:rPr>
            </w:pPr>
            <w:r w:rsidRPr="00AD1496">
              <w:rPr>
                <w:rFonts w:asciiTheme="majorHAnsi" w:hAnsiTheme="majorHAnsi" w:cstheme="majorHAnsi"/>
              </w:rPr>
              <w:t>the extent to which all Parties are carrying out their assigned roles and responsibilities</w:t>
            </w:r>
          </w:p>
          <w:p w14:paraId="6DFDEE9C" w14:textId="77777777" w:rsidR="000C78B0" w:rsidRPr="00AD1496" w:rsidRDefault="000C78B0" w:rsidP="00F12881">
            <w:pPr>
              <w:pStyle w:val="Tablebullet"/>
              <w:rPr>
                <w:rFonts w:asciiTheme="majorHAnsi" w:hAnsiTheme="majorHAnsi" w:cstheme="majorHAnsi"/>
              </w:rPr>
            </w:pPr>
            <w:r w:rsidRPr="00AD1496">
              <w:rPr>
                <w:rFonts w:asciiTheme="majorHAnsi" w:hAnsiTheme="majorHAnsi" w:cstheme="majorHAnsi"/>
              </w:rPr>
              <w:t>the quality, timeliness, accuracy and suitability of performance reporting and assessment arrangements, including whether the performance indicators adequately measure achievement of the outcomes of this NPA</w:t>
            </w:r>
          </w:p>
        </w:tc>
        <w:tc>
          <w:tcPr>
            <w:tcW w:w="5669" w:type="dxa"/>
          </w:tcPr>
          <w:p w14:paraId="41B7CA23" w14:textId="77777777" w:rsidR="000C78B0" w:rsidRPr="00AD1496" w:rsidRDefault="000C78B0" w:rsidP="00F12881">
            <w:pPr>
              <w:pStyle w:val="Tablebodytext"/>
              <w:rPr>
                <w:rFonts w:asciiTheme="majorHAnsi" w:hAnsiTheme="majorHAnsi" w:cstheme="majorHAnsi"/>
                <w:szCs w:val="20"/>
              </w:rPr>
            </w:pPr>
            <w:r w:rsidRPr="00AD1496">
              <w:rPr>
                <w:rFonts w:asciiTheme="majorHAnsi" w:hAnsiTheme="majorHAnsi" w:cstheme="majorHAnsi"/>
                <w:color w:val="000000"/>
                <w:szCs w:val="20"/>
              </w:rPr>
              <w:lastRenderedPageBreak/>
              <w:t>How have Basin States applied the funding allocated under the NPA to deliver intended outcomes? To what extent have funding levels been adequate to deliver these outcomes?</w:t>
            </w:r>
          </w:p>
        </w:tc>
      </w:tr>
      <w:tr w:rsidR="000C78B0" w:rsidRPr="00AD1496" w14:paraId="275C270C" w14:textId="77777777" w:rsidTr="00F12881">
        <w:tc>
          <w:tcPr>
            <w:tcW w:w="3344" w:type="dxa"/>
            <w:vMerge/>
          </w:tcPr>
          <w:p w14:paraId="1F303136" w14:textId="77777777" w:rsidR="000C78B0" w:rsidRPr="00AD1496" w:rsidRDefault="000C78B0" w:rsidP="00F12881">
            <w:pPr>
              <w:pStyle w:val="Tablebodytext"/>
              <w:rPr>
                <w:rFonts w:asciiTheme="majorHAnsi" w:hAnsiTheme="majorHAnsi" w:cstheme="majorHAnsi"/>
                <w:color w:val="000000"/>
                <w:sz w:val="18"/>
                <w:szCs w:val="18"/>
              </w:rPr>
            </w:pPr>
          </w:p>
        </w:tc>
        <w:tc>
          <w:tcPr>
            <w:tcW w:w="5669" w:type="dxa"/>
          </w:tcPr>
          <w:p w14:paraId="16DC9566" w14:textId="77777777" w:rsidR="000C78B0" w:rsidRPr="00AD1496" w:rsidRDefault="000C78B0" w:rsidP="00F12881">
            <w:pPr>
              <w:pStyle w:val="Tablebodytext"/>
              <w:rPr>
                <w:rFonts w:asciiTheme="majorHAnsi" w:hAnsiTheme="majorHAnsi" w:cstheme="majorHAnsi"/>
                <w:szCs w:val="20"/>
              </w:rPr>
            </w:pPr>
            <w:r w:rsidRPr="00AD1496">
              <w:rPr>
                <w:rFonts w:asciiTheme="majorHAnsi" w:hAnsiTheme="majorHAnsi" w:cstheme="majorHAnsi"/>
                <w:color w:val="000000"/>
                <w:szCs w:val="20"/>
              </w:rPr>
              <w:t>To what extent have Basin States and the Commonwealth met their roles and responsibilities under the NPA? Where, how and in what form is documentary evidence of this available, to support verification of the milestone reports?</w:t>
            </w:r>
          </w:p>
        </w:tc>
      </w:tr>
      <w:tr w:rsidR="000C78B0" w:rsidRPr="00AD1496" w14:paraId="6BFFD901" w14:textId="77777777" w:rsidTr="00F12881">
        <w:tc>
          <w:tcPr>
            <w:tcW w:w="3344" w:type="dxa"/>
            <w:vMerge/>
          </w:tcPr>
          <w:p w14:paraId="1552CBA8" w14:textId="77777777" w:rsidR="000C78B0" w:rsidRPr="00AD1496" w:rsidRDefault="000C78B0" w:rsidP="00F12881">
            <w:pPr>
              <w:pStyle w:val="Tablebodytext"/>
              <w:rPr>
                <w:rFonts w:asciiTheme="majorHAnsi" w:hAnsiTheme="majorHAnsi" w:cstheme="majorHAnsi"/>
                <w:color w:val="000000"/>
                <w:sz w:val="18"/>
                <w:szCs w:val="18"/>
              </w:rPr>
            </w:pPr>
          </w:p>
        </w:tc>
        <w:tc>
          <w:tcPr>
            <w:tcW w:w="5669" w:type="dxa"/>
          </w:tcPr>
          <w:p w14:paraId="245BACC5" w14:textId="77777777" w:rsidR="000C78B0" w:rsidRPr="00AD1496" w:rsidRDefault="000C78B0" w:rsidP="00F12881">
            <w:pPr>
              <w:pStyle w:val="Tablebodytext"/>
              <w:rPr>
                <w:rFonts w:asciiTheme="majorHAnsi" w:hAnsiTheme="majorHAnsi" w:cstheme="majorHAnsi"/>
                <w:szCs w:val="20"/>
              </w:rPr>
            </w:pPr>
            <w:r w:rsidRPr="00AD1496">
              <w:rPr>
                <w:rFonts w:asciiTheme="majorHAnsi" w:hAnsiTheme="majorHAnsi" w:cstheme="majorHAnsi"/>
                <w:color w:val="000000"/>
                <w:szCs w:val="20"/>
              </w:rPr>
              <w:t>How has the quality, timeliness, accuracy and suitability of performance reporting and assessments arrangements by Basin States and Commonwealth agencies affected the operation and efficiency of the implementation of the NPA?</w:t>
            </w:r>
          </w:p>
        </w:tc>
      </w:tr>
      <w:tr w:rsidR="000C78B0" w:rsidRPr="00AD1496" w14:paraId="26EF2EBB" w14:textId="77777777" w:rsidTr="00F12881">
        <w:tc>
          <w:tcPr>
            <w:tcW w:w="3344" w:type="dxa"/>
            <w:vMerge w:val="restart"/>
          </w:tcPr>
          <w:p w14:paraId="5134FA97" w14:textId="77777777" w:rsidR="000C78B0" w:rsidRPr="00AD1496" w:rsidRDefault="000C78B0" w:rsidP="00F12881">
            <w:pPr>
              <w:pStyle w:val="Tablebodytext"/>
              <w:rPr>
                <w:rFonts w:asciiTheme="majorHAnsi" w:hAnsiTheme="majorHAnsi" w:cstheme="majorHAnsi"/>
                <w:color w:val="000000"/>
                <w:szCs w:val="20"/>
              </w:rPr>
            </w:pPr>
            <w:r w:rsidRPr="00AD1496">
              <w:rPr>
                <w:rFonts w:asciiTheme="majorHAnsi" w:hAnsiTheme="majorHAnsi" w:cstheme="majorHAnsi"/>
                <w:color w:val="000000"/>
                <w:szCs w:val="20"/>
              </w:rPr>
              <w:t xml:space="preserve">Identification of areas for improvement and opportunities to enhance current and future arrangements. </w:t>
            </w:r>
          </w:p>
          <w:p w14:paraId="787E5D2D" w14:textId="77777777" w:rsidR="000C78B0" w:rsidRPr="00AD1496" w:rsidRDefault="000C78B0" w:rsidP="00F12881">
            <w:pPr>
              <w:pStyle w:val="Tablebodytext"/>
              <w:rPr>
                <w:rFonts w:asciiTheme="majorHAnsi" w:hAnsiTheme="majorHAnsi" w:cstheme="majorHAnsi"/>
                <w:color w:val="000000"/>
                <w:szCs w:val="20"/>
              </w:rPr>
            </w:pPr>
          </w:p>
        </w:tc>
        <w:tc>
          <w:tcPr>
            <w:tcW w:w="5669" w:type="dxa"/>
          </w:tcPr>
          <w:p w14:paraId="22C97DE3" w14:textId="77777777" w:rsidR="000C78B0" w:rsidRPr="00AD1496" w:rsidRDefault="000C78B0" w:rsidP="00F12881">
            <w:pPr>
              <w:pStyle w:val="Tablebodytext"/>
              <w:rPr>
                <w:rFonts w:asciiTheme="majorHAnsi" w:hAnsiTheme="majorHAnsi" w:cstheme="majorHAnsi"/>
                <w:szCs w:val="20"/>
              </w:rPr>
            </w:pPr>
            <w:r w:rsidRPr="00AD1496">
              <w:rPr>
                <w:rFonts w:asciiTheme="majorHAnsi" w:hAnsiTheme="majorHAnsi" w:cstheme="majorHAnsi"/>
                <w:color w:val="000000"/>
                <w:szCs w:val="20"/>
              </w:rPr>
              <w:t>What were the main enablers and barriers to Basin States achieving the intended objectives, outcomes, outputs and milestones of the NPA? [</w:t>
            </w:r>
            <w:r w:rsidRPr="00AD1496">
              <w:rPr>
                <w:rFonts w:asciiTheme="majorHAnsi" w:hAnsiTheme="majorHAnsi" w:cstheme="majorHAnsi"/>
                <w:i/>
                <w:color w:val="000000"/>
                <w:szCs w:val="20"/>
              </w:rPr>
              <w:t>Also relevant to ToR 2]</w:t>
            </w:r>
          </w:p>
        </w:tc>
      </w:tr>
      <w:tr w:rsidR="000C78B0" w:rsidRPr="00AD1496" w14:paraId="3C11CD9E" w14:textId="77777777" w:rsidTr="00F12881">
        <w:tc>
          <w:tcPr>
            <w:tcW w:w="3344" w:type="dxa"/>
            <w:vMerge/>
          </w:tcPr>
          <w:p w14:paraId="40E0776D" w14:textId="77777777" w:rsidR="000C78B0" w:rsidRPr="00AD1496" w:rsidRDefault="000C78B0" w:rsidP="00F12881">
            <w:pPr>
              <w:pStyle w:val="Tablebodytext"/>
              <w:rPr>
                <w:rFonts w:asciiTheme="majorHAnsi" w:hAnsiTheme="majorHAnsi" w:cstheme="majorHAnsi"/>
                <w:color w:val="000000"/>
                <w:sz w:val="18"/>
                <w:szCs w:val="18"/>
              </w:rPr>
            </w:pPr>
          </w:p>
        </w:tc>
        <w:tc>
          <w:tcPr>
            <w:tcW w:w="5669" w:type="dxa"/>
          </w:tcPr>
          <w:p w14:paraId="7E5272FA" w14:textId="77777777" w:rsidR="000C78B0" w:rsidRPr="00AD1496" w:rsidRDefault="000C78B0" w:rsidP="00F12881">
            <w:pPr>
              <w:pStyle w:val="Tablebodytext"/>
              <w:rPr>
                <w:rFonts w:asciiTheme="majorHAnsi" w:hAnsiTheme="majorHAnsi" w:cstheme="majorHAnsi"/>
                <w:szCs w:val="20"/>
              </w:rPr>
            </w:pPr>
            <w:r w:rsidRPr="00AD1496">
              <w:rPr>
                <w:rFonts w:asciiTheme="majorHAnsi" w:hAnsiTheme="majorHAnsi" w:cstheme="majorHAnsi"/>
                <w:color w:val="000000"/>
                <w:szCs w:val="20"/>
              </w:rPr>
              <w:t>If there was to be another NPA, how could this be enhanced to further deliver on its objective?</w:t>
            </w:r>
          </w:p>
        </w:tc>
      </w:tr>
    </w:tbl>
    <w:p w14:paraId="2A3BEACC" w14:textId="223B3578" w:rsidR="0046611E" w:rsidRPr="00AD1496" w:rsidRDefault="0046611E" w:rsidP="0046611E">
      <w:pPr>
        <w:pStyle w:val="Heading3"/>
        <w:rPr>
          <w:rFonts w:asciiTheme="majorHAnsi" w:hAnsiTheme="majorHAnsi" w:cstheme="majorHAnsi"/>
        </w:rPr>
      </w:pPr>
      <w:r w:rsidRPr="00AD1496">
        <w:rPr>
          <w:rFonts w:asciiTheme="majorHAnsi" w:hAnsiTheme="majorHAnsi" w:cstheme="majorHAnsi"/>
        </w:rPr>
        <w:t>Review timeline</w:t>
      </w:r>
    </w:p>
    <w:p w14:paraId="57AB4C4E" w14:textId="11FD5A67" w:rsidR="0046611E" w:rsidRPr="00AD1496" w:rsidRDefault="0046611E" w:rsidP="0046611E">
      <w:pPr>
        <w:rPr>
          <w:rFonts w:asciiTheme="majorHAnsi" w:hAnsiTheme="majorHAnsi" w:cstheme="majorHAnsi"/>
        </w:rPr>
      </w:pPr>
      <w:r w:rsidRPr="00AD1496">
        <w:rPr>
          <w:rFonts w:asciiTheme="majorHAnsi" w:hAnsiTheme="majorHAnsi" w:cstheme="majorHAnsi"/>
        </w:rPr>
        <w:t xml:space="preserve">The review was conducted between May and </w:t>
      </w:r>
      <w:r w:rsidR="00EA1516" w:rsidRPr="00AD1496">
        <w:rPr>
          <w:rFonts w:asciiTheme="majorHAnsi" w:hAnsiTheme="majorHAnsi" w:cstheme="majorHAnsi"/>
        </w:rPr>
        <w:t xml:space="preserve">October </w:t>
      </w:r>
      <w:r w:rsidRPr="00AD1496">
        <w:rPr>
          <w:rFonts w:asciiTheme="majorHAnsi" w:hAnsiTheme="majorHAnsi" w:cstheme="majorHAnsi"/>
        </w:rPr>
        <w:t xml:space="preserve">2019, </w:t>
      </w:r>
      <w:r w:rsidR="00EA1516" w:rsidRPr="00AD1496">
        <w:rPr>
          <w:rFonts w:asciiTheme="majorHAnsi" w:hAnsiTheme="majorHAnsi" w:cstheme="majorHAnsi"/>
        </w:rPr>
        <w:t>with stakeholder interviews taking place throughout June</w:t>
      </w:r>
      <w:r w:rsidRPr="00AD1496">
        <w:rPr>
          <w:rFonts w:asciiTheme="majorHAnsi" w:hAnsiTheme="majorHAnsi" w:cstheme="majorHAnsi"/>
        </w:rPr>
        <w:t>.</w:t>
      </w:r>
    </w:p>
    <w:p w14:paraId="0FA2ADA9" w14:textId="0BFD4DE0" w:rsidR="000C78B0" w:rsidRPr="00AD1496" w:rsidRDefault="000C78B0" w:rsidP="000115BD">
      <w:pPr>
        <w:pStyle w:val="Heading3"/>
        <w:rPr>
          <w:rFonts w:asciiTheme="majorHAnsi" w:hAnsiTheme="majorHAnsi" w:cstheme="majorHAnsi"/>
        </w:rPr>
      </w:pPr>
      <w:r w:rsidRPr="00AD1496">
        <w:rPr>
          <w:rFonts w:asciiTheme="majorHAnsi" w:hAnsiTheme="majorHAnsi" w:cstheme="majorHAnsi"/>
        </w:rPr>
        <w:t>Limitations</w:t>
      </w:r>
    </w:p>
    <w:p w14:paraId="1E640A4C" w14:textId="4A862E89" w:rsidR="00EB34DB" w:rsidRPr="00AD1496" w:rsidRDefault="000C78B0" w:rsidP="000C78B0">
      <w:pPr>
        <w:pBdr>
          <w:top w:val="nil"/>
          <w:left w:val="nil"/>
          <w:bottom w:val="nil"/>
          <w:right w:val="nil"/>
          <w:between w:val="nil"/>
        </w:pBdr>
        <w:rPr>
          <w:rFonts w:asciiTheme="majorHAnsi" w:hAnsiTheme="majorHAnsi" w:cstheme="majorHAnsi"/>
        </w:rPr>
      </w:pPr>
      <w:r w:rsidRPr="00AD1496">
        <w:rPr>
          <w:rFonts w:asciiTheme="majorHAnsi" w:hAnsiTheme="majorHAnsi" w:cstheme="majorHAnsi"/>
        </w:rPr>
        <w:t xml:space="preserve">The NPA, which is the subject of this review, is just one part of the broader institutional arrangements implemented to </w:t>
      </w:r>
      <w:r w:rsidRPr="00AD1496">
        <w:rPr>
          <w:rFonts w:asciiTheme="majorHAnsi" w:hAnsiTheme="majorHAnsi" w:cstheme="majorHAnsi"/>
        </w:rPr>
        <w:lastRenderedPageBreak/>
        <w:t>achieve water reform in the MDB. It does not operate independently of its institutional context; the other related institutional arrangements are mutually dependent.</w:t>
      </w:r>
      <w:r w:rsidR="000115BD" w:rsidRPr="00AD1496">
        <w:rPr>
          <w:rFonts w:asciiTheme="majorHAnsi" w:hAnsiTheme="majorHAnsi" w:cstheme="majorHAnsi"/>
        </w:rPr>
        <w:t xml:space="preserve"> </w:t>
      </w:r>
      <w:r w:rsidRPr="00AD1496">
        <w:rPr>
          <w:rFonts w:asciiTheme="majorHAnsi" w:hAnsiTheme="majorHAnsi" w:cstheme="majorHAnsi"/>
        </w:rPr>
        <w:t xml:space="preserve">The scope of this review cannot feasibly cover (and the terms of reference do not extend to) </w:t>
      </w:r>
      <w:r w:rsidR="008C7C20" w:rsidRPr="00AD1496">
        <w:rPr>
          <w:rFonts w:asciiTheme="majorHAnsi" w:hAnsiTheme="majorHAnsi" w:cstheme="majorHAnsi"/>
        </w:rPr>
        <w:t xml:space="preserve">the outcomes being achieved within the Basin Plan or </w:t>
      </w:r>
      <w:r w:rsidRPr="00AD1496">
        <w:rPr>
          <w:rFonts w:asciiTheme="majorHAnsi" w:hAnsiTheme="majorHAnsi" w:cstheme="majorHAnsi"/>
        </w:rPr>
        <w:t>consider other aspects of the institutional arrangements</w:t>
      </w:r>
      <w:r w:rsidR="003576A2" w:rsidRPr="00AD1496">
        <w:rPr>
          <w:rFonts w:asciiTheme="majorHAnsi" w:hAnsiTheme="majorHAnsi" w:cstheme="majorHAnsi"/>
        </w:rPr>
        <w:t>.</w:t>
      </w:r>
    </w:p>
    <w:p w14:paraId="12E0AE2F" w14:textId="5AC91D22" w:rsidR="00991ED5" w:rsidRPr="00AD1496" w:rsidRDefault="00CE0278" w:rsidP="007A065E">
      <w:pPr>
        <w:pStyle w:val="Heading1"/>
        <w:rPr>
          <w:rFonts w:asciiTheme="majorHAnsi" w:hAnsiTheme="majorHAnsi" w:cstheme="majorHAnsi"/>
        </w:rPr>
      </w:pPr>
      <w:bookmarkStart w:id="30" w:name="_pu9uowd7dy4u" w:colFirst="0" w:colLast="0"/>
      <w:bookmarkStart w:id="31" w:name="_kjhyozlwtpal" w:colFirst="0" w:colLast="0"/>
      <w:bookmarkStart w:id="32" w:name="_t14yazh7se0p" w:colFirst="0" w:colLast="0"/>
      <w:bookmarkStart w:id="33" w:name="_Ref18410538"/>
      <w:bookmarkStart w:id="34" w:name="_Toc33700619"/>
      <w:bookmarkEnd w:id="30"/>
      <w:bookmarkEnd w:id="31"/>
      <w:bookmarkEnd w:id="32"/>
      <w:r w:rsidRPr="00AD1496">
        <w:rPr>
          <w:rFonts w:asciiTheme="majorHAnsi" w:hAnsiTheme="majorHAnsi" w:cstheme="majorHAnsi"/>
        </w:rPr>
        <w:lastRenderedPageBreak/>
        <w:t>P</w:t>
      </w:r>
      <w:r w:rsidR="0038060A" w:rsidRPr="00AD1496">
        <w:rPr>
          <w:rFonts w:asciiTheme="majorHAnsi" w:hAnsiTheme="majorHAnsi" w:cstheme="majorHAnsi"/>
        </w:rPr>
        <w:t>erformance</w:t>
      </w:r>
      <w:r w:rsidRPr="00AD1496">
        <w:rPr>
          <w:rFonts w:asciiTheme="majorHAnsi" w:hAnsiTheme="majorHAnsi" w:cstheme="majorHAnsi"/>
        </w:rPr>
        <w:t xml:space="preserve"> of the NPA</w:t>
      </w:r>
      <w:bookmarkEnd w:id="33"/>
      <w:bookmarkEnd w:id="34"/>
    </w:p>
    <w:p w14:paraId="5086FB71" w14:textId="24A79DEE" w:rsidR="00991ED5" w:rsidRPr="00AD1496" w:rsidRDefault="00991ED5" w:rsidP="00991ED5">
      <w:pPr>
        <w:rPr>
          <w:rFonts w:asciiTheme="majorHAnsi" w:hAnsiTheme="majorHAnsi" w:cstheme="majorHAnsi"/>
        </w:rPr>
      </w:pPr>
      <w:r w:rsidRPr="00AD1496">
        <w:rPr>
          <w:rFonts w:asciiTheme="majorHAnsi" w:hAnsiTheme="majorHAnsi" w:cstheme="majorHAnsi"/>
        </w:rPr>
        <w:t xml:space="preserve">This section summarises the findings </w:t>
      </w:r>
      <w:r w:rsidR="0038060A" w:rsidRPr="00AD1496">
        <w:rPr>
          <w:rFonts w:asciiTheme="majorHAnsi" w:hAnsiTheme="majorHAnsi" w:cstheme="majorHAnsi"/>
        </w:rPr>
        <w:t xml:space="preserve">against the Terms of Reference, drawing on the document review </w:t>
      </w:r>
      <w:r w:rsidR="0033259D" w:rsidRPr="00AD1496">
        <w:rPr>
          <w:rFonts w:asciiTheme="majorHAnsi" w:hAnsiTheme="majorHAnsi" w:cstheme="majorHAnsi"/>
        </w:rPr>
        <w:t>and</w:t>
      </w:r>
      <w:r w:rsidR="0038060A" w:rsidRPr="00AD1496">
        <w:rPr>
          <w:rFonts w:asciiTheme="majorHAnsi" w:hAnsiTheme="majorHAnsi" w:cstheme="majorHAnsi"/>
        </w:rPr>
        <w:t xml:space="preserve"> </w:t>
      </w:r>
      <w:r w:rsidRPr="00AD1496">
        <w:rPr>
          <w:rFonts w:asciiTheme="majorHAnsi" w:hAnsiTheme="majorHAnsi" w:cstheme="majorHAnsi"/>
        </w:rPr>
        <w:t>stakeholder interviews.</w:t>
      </w:r>
    </w:p>
    <w:p w14:paraId="2AAF2D63" w14:textId="19D5B1FE" w:rsidR="0038060A" w:rsidRPr="00AD1496" w:rsidRDefault="0038060A" w:rsidP="00691206">
      <w:pPr>
        <w:pStyle w:val="Heading2"/>
        <w:rPr>
          <w:rFonts w:asciiTheme="majorHAnsi" w:hAnsiTheme="majorHAnsi" w:cstheme="majorHAnsi"/>
        </w:rPr>
      </w:pPr>
      <w:bookmarkStart w:id="35" w:name="_Toc33700620"/>
      <w:r w:rsidRPr="00AD1496">
        <w:rPr>
          <w:rFonts w:asciiTheme="majorHAnsi" w:hAnsiTheme="majorHAnsi" w:cstheme="majorHAnsi"/>
        </w:rPr>
        <w:t xml:space="preserve">Effectiveness of the NPA in contributing to </w:t>
      </w:r>
      <w:r w:rsidR="00F65218" w:rsidRPr="00AD1496">
        <w:rPr>
          <w:rFonts w:asciiTheme="majorHAnsi" w:hAnsiTheme="majorHAnsi" w:cstheme="majorHAnsi"/>
        </w:rPr>
        <w:t xml:space="preserve">water </w:t>
      </w:r>
      <w:r w:rsidRPr="00AD1496">
        <w:rPr>
          <w:rFonts w:asciiTheme="majorHAnsi" w:hAnsiTheme="majorHAnsi" w:cstheme="majorHAnsi"/>
        </w:rPr>
        <w:t>reform</w:t>
      </w:r>
      <w:r w:rsidR="00F65218" w:rsidRPr="00AD1496">
        <w:rPr>
          <w:rFonts w:asciiTheme="majorHAnsi" w:hAnsiTheme="majorHAnsi" w:cstheme="majorHAnsi"/>
        </w:rPr>
        <w:t>s</w:t>
      </w:r>
      <w:bookmarkEnd w:id="35"/>
    </w:p>
    <w:p w14:paraId="7EE763F8" w14:textId="77777777" w:rsidR="0092386E" w:rsidRPr="00AD1496" w:rsidRDefault="0092386E" w:rsidP="0092386E">
      <w:pPr>
        <w:pStyle w:val="Boxheading"/>
        <w:rPr>
          <w:rFonts w:asciiTheme="majorHAnsi" w:hAnsiTheme="majorHAnsi" w:cstheme="majorHAnsi"/>
        </w:rPr>
      </w:pPr>
    </w:p>
    <w:p w14:paraId="65E71F30" w14:textId="0F56056D" w:rsidR="002F71C1" w:rsidRPr="00AD1496" w:rsidRDefault="002F71C1" w:rsidP="0092386E">
      <w:pPr>
        <w:pStyle w:val="Boxheading"/>
        <w:rPr>
          <w:rFonts w:asciiTheme="majorHAnsi" w:hAnsiTheme="majorHAnsi" w:cstheme="majorHAnsi"/>
        </w:rPr>
      </w:pPr>
      <w:r w:rsidRPr="00AD1496">
        <w:rPr>
          <w:rFonts w:asciiTheme="majorHAnsi" w:hAnsiTheme="majorHAnsi" w:cstheme="majorHAnsi"/>
        </w:rPr>
        <w:t>Term of Reference 1</w:t>
      </w:r>
      <w:r w:rsidR="00D56E7D" w:rsidRPr="00AD1496">
        <w:rPr>
          <w:rFonts w:asciiTheme="majorHAnsi" w:hAnsiTheme="majorHAnsi" w:cstheme="majorHAnsi"/>
        </w:rPr>
        <w:br/>
      </w:r>
    </w:p>
    <w:p w14:paraId="35D5F43E" w14:textId="4E421778" w:rsidR="002F71C1" w:rsidRPr="00AD1496" w:rsidRDefault="002F71C1" w:rsidP="00CE0278">
      <w:pPr>
        <w:pStyle w:val="Boxtext0"/>
        <w:rPr>
          <w:rFonts w:asciiTheme="majorHAnsi" w:hAnsiTheme="majorHAnsi" w:cstheme="majorHAnsi"/>
        </w:rPr>
      </w:pPr>
      <w:r w:rsidRPr="00AD1496">
        <w:rPr>
          <w:rFonts w:asciiTheme="majorHAnsi" w:hAnsiTheme="majorHAnsi" w:cstheme="majorHAnsi"/>
        </w:rPr>
        <w:t xml:space="preserve">Assessment of the effectiveness of the NPA in contributing to the Murray-Darling Basin water reforms, specifically the extent to which: </w:t>
      </w:r>
    </w:p>
    <w:p w14:paraId="6C07CBF5" w14:textId="6EA45AB6" w:rsidR="002F71C1" w:rsidRPr="00AD1496" w:rsidRDefault="002F71C1" w:rsidP="002F71C1">
      <w:pPr>
        <w:pStyle w:val="Boxbullets"/>
        <w:rPr>
          <w:rFonts w:asciiTheme="majorHAnsi" w:hAnsiTheme="majorHAnsi" w:cstheme="majorHAnsi"/>
        </w:rPr>
      </w:pPr>
      <w:r w:rsidRPr="00AD1496">
        <w:rPr>
          <w:rFonts w:asciiTheme="majorHAnsi" w:hAnsiTheme="majorHAnsi" w:cstheme="majorHAnsi"/>
        </w:rPr>
        <w:t xml:space="preserve">the NPA has supported the achievement of the milestones and outputs </w:t>
      </w:r>
    </w:p>
    <w:p w14:paraId="4D07F4E7" w14:textId="4A46EA1D" w:rsidR="00CE0278" w:rsidRPr="00AD1496" w:rsidRDefault="002F71C1" w:rsidP="004F6256">
      <w:pPr>
        <w:pStyle w:val="Boxbullets"/>
        <w:spacing w:after="240"/>
        <w:ind w:left="230" w:hanging="230"/>
        <w:rPr>
          <w:rFonts w:asciiTheme="majorHAnsi" w:hAnsiTheme="majorHAnsi" w:cstheme="majorHAnsi"/>
        </w:rPr>
      </w:pPr>
      <w:r w:rsidRPr="00AD1496">
        <w:rPr>
          <w:rFonts w:asciiTheme="majorHAnsi" w:hAnsiTheme="majorHAnsi" w:cstheme="majorHAnsi"/>
        </w:rPr>
        <w:t>the milestones and outputs have supported achievement of the NPA objectives and outcomes</w:t>
      </w:r>
      <w:r w:rsidR="004F6256" w:rsidRPr="00AD1496">
        <w:rPr>
          <w:rFonts w:asciiTheme="majorHAnsi" w:hAnsiTheme="majorHAnsi" w:cstheme="majorHAnsi"/>
        </w:rPr>
        <w:br/>
      </w:r>
    </w:p>
    <w:p w14:paraId="35111DAF" w14:textId="774668BE" w:rsidR="00181531" w:rsidRPr="00AD1496" w:rsidRDefault="00F91A85" w:rsidP="001B17A3">
      <w:pPr>
        <w:pStyle w:val="Heading3"/>
        <w:rPr>
          <w:rFonts w:asciiTheme="majorHAnsi" w:hAnsiTheme="majorHAnsi" w:cstheme="majorHAnsi"/>
        </w:rPr>
      </w:pPr>
      <w:bookmarkStart w:id="36" w:name="_ybhk1xdjqdb8" w:colFirst="0" w:colLast="0"/>
      <w:bookmarkEnd w:id="36"/>
      <w:r w:rsidRPr="00AD1496">
        <w:rPr>
          <w:rFonts w:asciiTheme="majorHAnsi" w:hAnsiTheme="majorHAnsi" w:cstheme="majorHAnsi"/>
        </w:rPr>
        <w:lastRenderedPageBreak/>
        <w:t>The NPA has been a useful contributor to State reform activity</w:t>
      </w:r>
    </w:p>
    <w:p w14:paraId="344688B1" w14:textId="40A065DB" w:rsidR="009E22AD" w:rsidRPr="00AD1496" w:rsidRDefault="0096348B" w:rsidP="00181531">
      <w:pPr>
        <w:rPr>
          <w:rFonts w:asciiTheme="majorHAnsi" w:hAnsiTheme="majorHAnsi" w:cstheme="majorHAnsi"/>
        </w:rPr>
      </w:pPr>
      <w:r w:rsidRPr="00AD1496">
        <w:rPr>
          <w:rFonts w:asciiTheme="majorHAnsi" w:hAnsiTheme="majorHAnsi" w:cstheme="majorHAnsi"/>
        </w:rPr>
        <w:t>The NPA is explicitly and implicitly linked to other policy instruments</w:t>
      </w:r>
      <w:r w:rsidR="008C7C20" w:rsidRPr="00AD1496">
        <w:rPr>
          <w:rFonts w:asciiTheme="majorHAnsi" w:hAnsiTheme="majorHAnsi" w:cstheme="majorHAnsi"/>
        </w:rPr>
        <w:t xml:space="preserve">, </w:t>
      </w:r>
      <w:r w:rsidRPr="00AD1496">
        <w:rPr>
          <w:rFonts w:asciiTheme="majorHAnsi" w:hAnsiTheme="majorHAnsi" w:cstheme="majorHAnsi"/>
        </w:rPr>
        <w:t>including the Basin Plan</w:t>
      </w:r>
      <w:r w:rsidR="008C7C20" w:rsidRPr="00AD1496">
        <w:rPr>
          <w:rFonts w:asciiTheme="majorHAnsi" w:hAnsiTheme="majorHAnsi" w:cstheme="majorHAnsi"/>
        </w:rPr>
        <w:t xml:space="preserve"> (see </w:t>
      </w:r>
      <w:r w:rsidR="008C7C20" w:rsidRPr="00AD1496">
        <w:rPr>
          <w:rFonts w:asciiTheme="majorHAnsi" w:hAnsiTheme="majorHAnsi" w:cstheme="majorHAnsi"/>
        </w:rPr>
        <w:fldChar w:fldCharType="begin"/>
      </w:r>
      <w:r w:rsidR="008C7C20" w:rsidRPr="00AD1496">
        <w:rPr>
          <w:rFonts w:asciiTheme="majorHAnsi" w:hAnsiTheme="majorHAnsi" w:cstheme="majorHAnsi"/>
        </w:rPr>
        <w:instrText xml:space="preserve"> REF _Ref18585610 \r \h </w:instrText>
      </w:r>
      <w:r w:rsidR="00AD1496">
        <w:rPr>
          <w:rFonts w:asciiTheme="majorHAnsi" w:hAnsiTheme="majorHAnsi" w:cstheme="majorHAnsi"/>
        </w:rPr>
        <w:instrText xml:space="preserve"> \* MERGEFORMAT </w:instrText>
      </w:r>
      <w:r w:rsidR="008C7C20" w:rsidRPr="00AD1496">
        <w:rPr>
          <w:rFonts w:asciiTheme="majorHAnsi" w:hAnsiTheme="majorHAnsi" w:cstheme="majorHAnsi"/>
        </w:rPr>
      </w:r>
      <w:r w:rsidR="008C7C20" w:rsidRPr="00AD1496">
        <w:rPr>
          <w:rFonts w:asciiTheme="majorHAnsi" w:hAnsiTheme="majorHAnsi" w:cstheme="majorHAnsi"/>
        </w:rPr>
        <w:fldChar w:fldCharType="separate"/>
      </w:r>
      <w:r w:rsidR="00DF313B">
        <w:rPr>
          <w:rFonts w:asciiTheme="majorHAnsi" w:hAnsiTheme="majorHAnsi" w:cstheme="majorHAnsi"/>
        </w:rPr>
        <w:t>1.2</w:t>
      </w:r>
      <w:r w:rsidR="008C7C20" w:rsidRPr="00AD1496">
        <w:rPr>
          <w:rFonts w:asciiTheme="majorHAnsi" w:hAnsiTheme="majorHAnsi" w:cstheme="majorHAnsi"/>
        </w:rPr>
        <w:fldChar w:fldCharType="end"/>
      </w:r>
      <w:r w:rsidR="008C7C20" w:rsidRPr="00AD1496">
        <w:rPr>
          <w:rFonts w:asciiTheme="majorHAnsi" w:hAnsiTheme="majorHAnsi" w:cstheme="majorHAnsi"/>
        </w:rPr>
        <w:t>)</w:t>
      </w:r>
      <w:r w:rsidRPr="00AD1496">
        <w:rPr>
          <w:rFonts w:asciiTheme="majorHAnsi" w:hAnsiTheme="majorHAnsi" w:cstheme="majorHAnsi"/>
        </w:rPr>
        <w:t xml:space="preserve">, making it a complex policy and administrative environment in which to deliver and report on reforms. </w:t>
      </w:r>
    </w:p>
    <w:p w14:paraId="6A544AFE" w14:textId="77777777" w:rsidR="009E22AD" w:rsidRPr="00AD1496" w:rsidRDefault="00F32169" w:rsidP="00181531">
      <w:pPr>
        <w:rPr>
          <w:rFonts w:asciiTheme="majorHAnsi" w:hAnsiTheme="majorHAnsi" w:cstheme="majorHAnsi"/>
        </w:rPr>
      </w:pPr>
      <w:r w:rsidRPr="00AD1496">
        <w:rPr>
          <w:rFonts w:asciiTheme="majorHAnsi" w:hAnsiTheme="majorHAnsi" w:cstheme="majorHAnsi"/>
        </w:rPr>
        <w:t>Overall, however, t</w:t>
      </w:r>
      <w:r w:rsidR="00181531" w:rsidRPr="00AD1496">
        <w:rPr>
          <w:rFonts w:asciiTheme="majorHAnsi" w:hAnsiTheme="majorHAnsi" w:cstheme="majorHAnsi"/>
        </w:rPr>
        <w:t xml:space="preserve">he </w:t>
      </w:r>
      <w:r w:rsidR="0096348B" w:rsidRPr="00AD1496">
        <w:rPr>
          <w:rFonts w:asciiTheme="majorHAnsi" w:hAnsiTheme="majorHAnsi" w:cstheme="majorHAnsi"/>
        </w:rPr>
        <w:t xml:space="preserve">review has found that the </w:t>
      </w:r>
      <w:r w:rsidR="00181531" w:rsidRPr="00AD1496">
        <w:rPr>
          <w:rFonts w:asciiTheme="majorHAnsi" w:hAnsiTheme="majorHAnsi" w:cstheme="majorHAnsi"/>
        </w:rPr>
        <w:t>NPA has</w:t>
      </w:r>
      <w:r w:rsidR="00F0400F" w:rsidRPr="00AD1496">
        <w:rPr>
          <w:rFonts w:asciiTheme="majorHAnsi" w:hAnsiTheme="majorHAnsi" w:cstheme="majorHAnsi"/>
        </w:rPr>
        <w:t xml:space="preserve"> </w:t>
      </w:r>
      <w:r w:rsidR="00181531" w:rsidRPr="00AD1496">
        <w:rPr>
          <w:rFonts w:asciiTheme="majorHAnsi" w:hAnsiTheme="majorHAnsi" w:cstheme="majorHAnsi"/>
        </w:rPr>
        <w:t>contribut</w:t>
      </w:r>
      <w:r w:rsidR="0096348B" w:rsidRPr="00AD1496">
        <w:rPr>
          <w:rFonts w:asciiTheme="majorHAnsi" w:hAnsiTheme="majorHAnsi" w:cstheme="majorHAnsi"/>
        </w:rPr>
        <w:t>ed</w:t>
      </w:r>
      <w:r w:rsidR="00181531" w:rsidRPr="00AD1496">
        <w:rPr>
          <w:rFonts w:asciiTheme="majorHAnsi" w:hAnsiTheme="majorHAnsi" w:cstheme="majorHAnsi"/>
        </w:rPr>
        <w:t xml:space="preserve"> to the Murray-Darling Basin reforms</w:t>
      </w:r>
      <w:r w:rsidR="0096348B" w:rsidRPr="00AD1496">
        <w:rPr>
          <w:rFonts w:asciiTheme="majorHAnsi" w:hAnsiTheme="majorHAnsi" w:cstheme="majorHAnsi"/>
        </w:rPr>
        <w:t xml:space="preserve">, </w:t>
      </w:r>
      <w:r w:rsidR="00181531" w:rsidRPr="00AD1496">
        <w:rPr>
          <w:rFonts w:asciiTheme="majorHAnsi" w:hAnsiTheme="majorHAnsi" w:cstheme="majorHAnsi"/>
        </w:rPr>
        <w:t xml:space="preserve">providing </w:t>
      </w:r>
      <w:r w:rsidR="0096348B" w:rsidRPr="00AD1496">
        <w:rPr>
          <w:rFonts w:asciiTheme="majorHAnsi" w:hAnsiTheme="majorHAnsi" w:cstheme="majorHAnsi"/>
        </w:rPr>
        <w:t>critical</w:t>
      </w:r>
      <w:r w:rsidR="00181531" w:rsidRPr="00AD1496">
        <w:rPr>
          <w:rFonts w:asciiTheme="majorHAnsi" w:hAnsiTheme="majorHAnsi" w:cstheme="majorHAnsi"/>
        </w:rPr>
        <w:t xml:space="preserve"> financial resources </w:t>
      </w:r>
      <w:r w:rsidRPr="00AD1496">
        <w:rPr>
          <w:rFonts w:asciiTheme="majorHAnsi" w:hAnsiTheme="majorHAnsi" w:cstheme="majorHAnsi"/>
        </w:rPr>
        <w:t>that facilitated action by States in making a start on the Basin Plan in the early years of the agreement and supported</w:t>
      </w:r>
      <w:r w:rsidR="0096348B" w:rsidRPr="00AD1496">
        <w:rPr>
          <w:rFonts w:asciiTheme="majorHAnsi" w:hAnsiTheme="majorHAnsi" w:cstheme="majorHAnsi"/>
        </w:rPr>
        <w:t xml:space="preserve"> State activity</w:t>
      </w:r>
      <w:r w:rsidRPr="00AD1496">
        <w:rPr>
          <w:rFonts w:asciiTheme="majorHAnsi" w:hAnsiTheme="majorHAnsi" w:cstheme="majorHAnsi"/>
        </w:rPr>
        <w:t xml:space="preserve"> throughout the period</w:t>
      </w:r>
      <w:r w:rsidR="00181531" w:rsidRPr="00AD1496">
        <w:rPr>
          <w:rFonts w:asciiTheme="majorHAnsi" w:hAnsiTheme="majorHAnsi" w:cstheme="majorHAnsi"/>
        </w:rPr>
        <w:t xml:space="preserve">. </w:t>
      </w:r>
    </w:p>
    <w:p w14:paraId="6FCE5689" w14:textId="79E7A8C0" w:rsidR="009E22AD" w:rsidRPr="00AD1496" w:rsidRDefault="00F0400F" w:rsidP="00181531">
      <w:pPr>
        <w:rPr>
          <w:rFonts w:asciiTheme="majorHAnsi" w:hAnsiTheme="majorHAnsi" w:cstheme="majorHAnsi"/>
        </w:rPr>
      </w:pPr>
      <w:r w:rsidRPr="00AD1496">
        <w:rPr>
          <w:rFonts w:asciiTheme="majorHAnsi" w:hAnsiTheme="majorHAnsi" w:cstheme="majorHAnsi"/>
        </w:rPr>
        <w:t>All States described the funds provided through the NPA as having contributed to activities that were key to implementing water reform in the Murray-Darling Basin. They noted it has paid for expertise, planning and reporting pro</w:t>
      </w:r>
      <w:r w:rsidRPr="00AD1496">
        <w:rPr>
          <w:rFonts w:asciiTheme="majorHAnsi" w:hAnsiTheme="majorHAnsi" w:cstheme="majorHAnsi"/>
        </w:rPr>
        <w:lastRenderedPageBreak/>
        <w:t xml:space="preserve">cesses, and has catalysed action in implementing the reforms. </w:t>
      </w:r>
      <w:r w:rsidR="009E22AD" w:rsidRPr="00AD1496">
        <w:rPr>
          <w:rFonts w:asciiTheme="majorHAnsi" w:hAnsiTheme="majorHAnsi" w:cstheme="majorHAnsi"/>
        </w:rPr>
        <w:t xml:space="preserve">The value of the </w:t>
      </w:r>
      <w:r w:rsidR="0020306B" w:rsidRPr="00AD1496">
        <w:rPr>
          <w:rFonts w:asciiTheme="majorHAnsi" w:hAnsiTheme="majorHAnsi" w:cstheme="majorHAnsi"/>
        </w:rPr>
        <w:t>seven</w:t>
      </w:r>
      <w:r w:rsidR="009E22AD" w:rsidRPr="00AD1496">
        <w:rPr>
          <w:rFonts w:asciiTheme="majorHAnsi" w:hAnsiTheme="majorHAnsi" w:cstheme="majorHAnsi"/>
        </w:rPr>
        <w:t xml:space="preserve">-year implementation period for planning and implementation was also noted. </w:t>
      </w:r>
    </w:p>
    <w:p w14:paraId="51D65146" w14:textId="2BCD89F0" w:rsidR="00181531" w:rsidRPr="00AD1496" w:rsidRDefault="00692489" w:rsidP="00181531">
      <w:pPr>
        <w:rPr>
          <w:rFonts w:asciiTheme="majorHAnsi" w:hAnsiTheme="majorHAnsi" w:cstheme="majorHAnsi"/>
        </w:rPr>
      </w:pPr>
      <w:r w:rsidRPr="00AD1496">
        <w:rPr>
          <w:rFonts w:asciiTheme="majorHAnsi" w:hAnsiTheme="majorHAnsi" w:cstheme="majorHAnsi"/>
        </w:rPr>
        <w:t xml:space="preserve">While </w:t>
      </w:r>
      <w:r w:rsidR="00F0400F" w:rsidRPr="00AD1496">
        <w:rPr>
          <w:rFonts w:asciiTheme="majorHAnsi" w:hAnsiTheme="majorHAnsi" w:cstheme="majorHAnsi"/>
        </w:rPr>
        <w:t>activities varied between states</w:t>
      </w:r>
      <w:r w:rsidRPr="00AD1496">
        <w:rPr>
          <w:rFonts w:asciiTheme="majorHAnsi" w:hAnsiTheme="majorHAnsi" w:cstheme="majorHAnsi"/>
        </w:rPr>
        <w:t>,</w:t>
      </w:r>
      <w:r w:rsidR="00F0400F" w:rsidRPr="00AD1496">
        <w:rPr>
          <w:rFonts w:asciiTheme="majorHAnsi" w:hAnsiTheme="majorHAnsi" w:cstheme="majorHAnsi"/>
        </w:rPr>
        <w:t xml:space="preserve"> all</w:t>
      </w:r>
      <w:r w:rsidR="00901671" w:rsidRPr="00AD1496">
        <w:rPr>
          <w:rFonts w:asciiTheme="majorHAnsi" w:hAnsiTheme="majorHAnsi" w:cstheme="majorHAnsi"/>
        </w:rPr>
        <w:t xml:space="preserve"> States </w:t>
      </w:r>
      <w:r w:rsidR="00F0400F" w:rsidRPr="00AD1496">
        <w:rPr>
          <w:rFonts w:asciiTheme="majorHAnsi" w:hAnsiTheme="majorHAnsi" w:cstheme="majorHAnsi"/>
        </w:rPr>
        <w:t xml:space="preserve">offered a view that the NPA funds have been important to resourcing water reforms administration. </w:t>
      </w:r>
      <w:r w:rsidR="00F32169" w:rsidRPr="00AD1496">
        <w:rPr>
          <w:rFonts w:asciiTheme="majorHAnsi" w:hAnsiTheme="majorHAnsi" w:cstheme="majorHAnsi"/>
        </w:rPr>
        <w:t>The NPA has funded State</w:t>
      </w:r>
      <w:r w:rsidR="00181531" w:rsidRPr="00AD1496">
        <w:rPr>
          <w:rFonts w:asciiTheme="majorHAnsi" w:hAnsiTheme="majorHAnsi" w:cstheme="majorHAnsi"/>
        </w:rPr>
        <w:t xml:space="preserve"> agencies’ staff and professional expertise </w:t>
      </w:r>
      <w:r w:rsidR="00F0400F" w:rsidRPr="00AD1496">
        <w:rPr>
          <w:rFonts w:asciiTheme="majorHAnsi" w:hAnsiTheme="majorHAnsi" w:cstheme="majorHAnsi"/>
        </w:rPr>
        <w:t>to</w:t>
      </w:r>
      <w:r w:rsidR="00F32169" w:rsidRPr="00AD1496">
        <w:rPr>
          <w:rFonts w:asciiTheme="majorHAnsi" w:hAnsiTheme="majorHAnsi" w:cstheme="majorHAnsi"/>
        </w:rPr>
        <w:t xml:space="preserve"> support</w:t>
      </w:r>
      <w:r w:rsidR="00181531" w:rsidRPr="00AD1496">
        <w:rPr>
          <w:rFonts w:asciiTheme="majorHAnsi" w:hAnsiTheme="majorHAnsi" w:cstheme="majorHAnsi"/>
        </w:rPr>
        <w:t xml:space="preserve"> a wide range of </w:t>
      </w:r>
      <w:r w:rsidR="00F32169" w:rsidRPr="00AD1496">
        <w:rPr>
          <w:rFonts w:asciiTheme="majorHAnsi" w:hAnsiTheme="majorHAnsi" w:cstheme="majorHAnsi"/>
        </w:rPr>
        <w:t>water reform activity including</w:t>
      </w:r>
      <w:r w:rsidR="00181531" w:rsidRPr="00AD1496">
        <w:rPr>
          <w:rFonts w:asciiTheme="majorHAnsi" w:hAnsiTheme="majorHAnsi" w:cstheme="majorHAnsi"/>
        </w:rPr>
        <w:t>:</w:t>
      </w:r>
    </w:p>
    <w:p w14:paraId="25F8DB59" w14:textId="33BF4D43"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m</w:t>
      </w:r>
      <w:r w:rsidR="00181531" w:rsidRPr="00AD1496">
        <w:rPr>
          <w:rFonts w:asciiTheme="majorHAnsi" w:hAnsiTheme="majorHAnsi" w:cstheme="majorHAnsi"/>
        </w:rPr>
        <w:t>onitoring and modelling</w:t>
      </w:r>
    </w:p>
    <w:p w14:paraId="5703B4E8" w14:textId="24666C22"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w</w:t>
      </w:r>
      <w:r w:rsidR="00181531" w:rsidRPr="00AD1496">
        <w:rPr>
          <w:rFonts w:asciiTheme="majorHAnsi" w:hAnsiTheme="majorHAnsi" w:cstheme="majorHAnsi"/>
        </w:rPr>
        <w:t>ater trade rule implementation</w:t>
      </w:r>
    </w:p>
    <w:p w14:paraId="443FFE60" w14:textId="5BD21757"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g</w:t>
      </w:r>
      <w:r w:rsidR="00181531" w:rsidRPr="00AD1496">
        <w:rPr>
          <w:rFonts w:asciiTheme="majorHAnsi" w:hAnsiTheme="majorHAnsi" w:cstheme="majorHAnsi"/>
        </w:rPr>
        <w:t>roundwater allocation</w:t>
      </w:r>
    </w:p>
    <w:p w14:paraId="660E7766" w14:textId="296B12F7"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w</w:t>
      </w:r>
      <w:r w:rsidR="00181531" w:rsidRPr="00AD1496">
        <w:rPr>
          <w:rFonts w:asciiTheme="majorHAnsi" w:hAnsiTheme="majorHAnsi" w:cstheme="majorHAnsi"/>
        </w:rPr>
        <w:t>ater resources plans</w:t>
      </w:r>
    </w:p>
    <w:p w14:paraId="54076BAE" w14:textId="73F603E7"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l</w:t>
      </w:r>
      <w:r w:rsidR="00181531" w:rsidRPr="00AD1496">
        <w:rPr>
          <w:rFonts w:asciiTheme="majorHAnsi" w:hAnsiTheme="majorHAnsi" w:cstheme="majorHAnsi"/>
        </w:rPr>
        <w:t>ong</w:t>
      </w:r>
      <w:r w:rsidR="003C06A0">
        <w:rPr>
          <w:rFonts w:asciiTheme="majorHAnsi" w:hAnsiTheme="majorHAnsi" w:cstheme="majorHAnsi"/>
        </w:rPr>
        <w:t>-</w:t>
      </w:r>
      <w:r w:rsidR="00181531" w:rsidRPr="00AD1496">
        <w:rPr>
          <w:rFonts w:asciiTheme="majorHAnsi" w:hAnsiTheme="majorHAnsi" w:cstheme="majorHAnsi"/>
        </w:rPr>
        <w:t>term environmental watering plans</w:t>
      </w:r>
      <w:r w:rsidR="003C06A0">
        <w:rPr>
          <w:rFonts w:asciiTheme="majorHAnsi" w:hAnsiTheme="majorHAnsi" w:cstheme="majorHAnsi"/>
        </w:rPr>
        <w:t xml:space="preserve"> (LTWPs)</w:t>
      </w:r>
    </w:p>
    <w:p w14:paraId="3BBAD411" w14:textId="77777777" w:rsidR="00181531" w:rsidRPr="00AD1496" w:rsidRDefault="00181531" w:rsidP="00181531">
      <w:pPr>
        <w:pStyle w:val="ListBullet"/>
        <w:rPr>
          <w:rFonts w:asciiTheme="majorHAnsi" w:hAnsiTheme="majorHAnsi" w:cstheme="majorHAnsi"/>
        </w:rPr>
      </w:pPr>
      <w:r w:rsidRPr="00AD1496">
        <w:rPr>
          <w:rFonts w:asciiTheme="majorHAnsi" w:hAnsiTheme="majorHAnsi" w:cstheme="majorHAnsi"/>
        </w:rPr>
        <w:t>Indigenous, local and industry engagement</w:t>
      </w:r>
    </w:p>
    <w:p w14:paraId="0966728F" w14:textId="47B6CE01"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p</w:t>
      </w:r>
      <w:r w:rsidR="00181531" w:rsidRPr="00AD1496">
        <w:rPr>
          <w:rFonts w:asciiTheme="majorHAnsi" w:hAnsiTheme="majorHAnsi" w:cstheme="majorHAnsi"/>
        </w:rPr>
        <w:t>articipation in Basin Plan forums and initiatives</w:t>
      </w:r>
    </w:p>
    <w:p w14:paraId="3A459E62" w14:textId="1323C61E" w:rsidR="00181531" w:rsidRPr="00AD1496" w:rsidRDefault="00F32169" w:rsidP="00181531">
      <w:pPr>
        <w:pStyle w:val="ListBullet"/>
        <w:rPr>
          <w:rFonts w:asciiTheme="majorHAnsi" w:hAnsiTheme="majorHAnsi" w:cstheme="majorHAnsi"/>
        </w:rPr>
      </w:pPr>
      <w:r w:rsidRPr="00AD1496">
        <w:rPr>
          <w:rFonts w:asciiTheme="majorHAnsi" w:hAnsiTheme="majorHAnsi" w:cstheme="majorHAnsi"/>
        </w:rPr>
        <w:t>c</w:t>
      </w:r>
      <w:r w:rsidR="00181531" w:rsidRPr="00AD1496">
        <w:rPr>
          <w:rFonts w:asciiTheme="majorHAnsi" w:hAnsiTheme="majorHAnsi" w:cstheme="majorHAnsi"/>
        </w:rPr>
        <w:t>onstraints/SDL project development support.</w:t>
      </w:r>
    </w:p>
    <w:p w14:paraId="5E743055" w14:textId="77777777" w:rsidR="00834E2E" w:rsidRPr="00AD1496" w:rsidRDefault="00834E2E" w:rsidP="00834E2E">
      <w:pPr>
        <w:pStyle w:val="ListBullet"/>
        <w:numPr>
          <w:ilvl w:val="0"/>
          <w:numId w:val="0"/>
        </w:numPr>
        <w:rPr>
          <w:rFonts w:asciiTheme="majorHAnsi" w:hAnsiTheme="majorHAnsi" w:cstheme="majorHAnsi"/>
        </w:rPr>
      </w:pPr>
    </w:p>
    <w:p w14:paraId="17B86008" w14:textId="5031DBCE" w:rsidR="00181531" w:rsidRPr="00AD1496" w:rsidRDefault="00A33B8E" w:rsidP="00181531">
      <w:pPr>
        <w:rPr>
          <w:rFonts w:asciiTheme="majorHAnsi" w:hAnsiTheme="majorHAnsi" w:cstheme="majorHAnsi"/>
        </w:rPr>
      </w:pPr>
      <w:r w:rsidRPr="00AD1496">
        <w:rPr>
          <w:rFonts w:asciiTheme="majorHAnsi" w:hAnsiTheme="majorHAnsi" w:cstheme="majorHAnsi"/>
        </w:rPr>
        <w:t xml:space="preserve">Most States indicated that the water reforms are ambitious, and many noted that reforms have been more complex and difficult than envisaged at the outset of the NPA and that </w:t>
      </w:r>
      <w:r w:rsidRPr="00AD1496">
        <w:rPr>
          <w:rFonts w:asciiTheme="majorHAnsi" w:hAnsiTheme="majorHAnsi" w:cstheme="majorHAnsi"/>
        </w:rPr>
        <w:lastRenderedPageBreak/>
        <w:t>the reforms are a work in progress, but that the NPA had enabled some of the rel</w:t>
      </w:r>
      <w:r w:rsidR="005E438B" w:rsidRPr="00AD1496">
        <w:rPr>
          <w:rFonts w:asciiTheme="majorHAnsi" w:hAnsiTheme="majorHAnsi" w:cstheme="majorHAnsi"/>
        </w:rPr>
        <w:t>e</w:t>
      </w:r>
      <w:r w:rsidRPr="00AD1496">
        <w:rPr>
          <w:rFonts w:asciiTheme="majorHAnsi" w:hAnsiTheme="majorHAnsi" w:cstheme="majorHAnsi"/>
        </w:rPr>
        <w:t xml:space="preserve">vant work to occur. </w:t>
      </w:r>
      <w:r w:rsidR="0020306B" w:rsidRPr="00AD1496">
        <w:rPr>
          <w:rFonts w:asciiTheme="majorHAnsi" w:hAnsiTheme="majorHAnsi" w:cstheme="majorHAnsi"/>
        </w:rPr>
        <w:t>For example, i</w:t>
      </w:r>
      <w:r w:rsidR="00181531" w:rsidRPr="00AD1496">
        <w:rPr>
          <w:rFonts w:asciiTheme="majorHAnsi" w:hAnsiTheme="majorHAnsi" w:cstheme="majorHAnsi"/>
        </w:rPr>
        <w:t xml:space="preserve">n Queensland, Water Plans are subject to review every ten years but the NPA </w:t>
      </w:r>
      <w:r w:rsidR="00E341D6" w:rsidRPr="00AD1496">
        <w:rPr>
          <w:rFonts w:asciiTheme="majorHAnsi" w:hAnsiTheme="majorHAnsi" w:cstheme="majorHAnsi"/>
        </w:rPr>
        <w:t xml:space="preserve">funding </w:t>
      </w:r>
      <w:r w:rsidR="00181531" w:rsidRPr="00AD1496">
        <w:rPr>
          <w:rFonts w:asciiTheme="majorHAnsi" w:hAnsiTheme="majorHAnsi" w:cstheme="majorHAnsi"/>
        </w:rPr>
        <w:t xml:space="preserve">enabled a full review that mapped the new </w:t>
      </w:r>
      <w:r w:rsidR="00DE71B1" w:rsidRPr="00AD1496">
        <w:rPr>
          <w:rFonts w:asciiTheme="majorHAnsi" w:hAnsiTheme="majorHAnsi" w:cstheme="majorHAnsi"/>
        </w:rPr>
        <w:t xml:space="preserve">Water Plan </w:t>
      </w:r>
      <w:r w:rsidR="00181531" w:rsidRPr="00AD1496">
        <w:rPr>
          <w:rFonts w:asciiTheme="majorHAnsi" w:hAnsiTheme="majorHAnsi" w:cstheme="majorHAnsi"/>
        </w:rPr>
        <w:t>to the Basin Plan obligations</w:t>
      </w:r>
      <w:r w:rsidR="00E341D6" w:rsidRPr="00AD1496">
        <w:rPr>
          <w:rFonts w:asciiTheme="majorHAnsi" w:hAnsiTheme="majorHAnsi" w:cstheme="majorHAnsi"/>
        </w:rPr>
        <w:t>, ensuring that</w:t>
      </w:r>
      <w:r w:rsidR="00181531" w:rsidRPr="00AD1496">
        <w:rPr>
          <w:rFonts w:asciiTheme="majorHAnsi" w:hAnsiTheme="majorHAnsi" w:cstheme="majorHAnsi"/>
        </w:rPr>
        <w:t xml:space="preserve"> it met the </w:t>
      </w:r>
      <w:r w:rsidR="00181AE8" w:rsidRPr="00AD1496">
        <w:rPr>
          <w:rFonts w:asciiTheme="majorHAnsi" w:hAnsiTheme="majorHAnsi" w:cstheme="majorHAnsi"/>
        </w:rPr>
        <w:t xml:space="preserve">additional </w:t>
      </w:r>
      <w:r w:rsidR="00181531" w:rsidRPr="00AD1496">
        <w:rPr>
          <w:rFonts w:asciiTheme="majorHAnsi" w:hAnsiTheme="majorHAnsi" w:cstheme="majorHAnsi"/>
        </w:rPr>
        <w:t>obligations under the Basin Plan.</w:t>
      </w:r>
    </w:p>
    <w:p w14:paraId="27D0C6B1" w14:textId="77777777" w:rsidR="00F00340" w:rsidRPr="00AD1496" w:rsidRDefault="00F00340" w:rsidP="00F00340">
      <w:pPr>
        <w:pStyle w:val="Heading4"/>
        <w:rPr>
          <w:rFonts w:asciiTheme="majorHAnsi" w:hAnsiTheme="majorHAnsi" w:cstheme="majorHAnsi"/>
        </w:rPr>
      </w:pPr>
      <w:r w:rsidRPr="00AD1496">
        <w:rPr>
          <w:rFonts w:asciiTheme="majorHAnsi" w:hAnsiTheme="majorHAnsi" w:cstheme="majorHAnsi"/>
        </w:rPr>
        <w:t>To what extent have funding levels been adequate to deliver these outcomes?</w:t>
      </w:r>
    </w:p>
    <w:p w14:paraId="0F632EAC" w14:textId="2CFD67F9" w:rsidR="00F00340" w:rsidRPr="00AD1496" w:rsidRDefault="00F00340" w:rsidP="00F00340">
      <w:pPr>
        <w:rPr>
          <w:rFonts w:asciiTheme="majorHAnsi" w:hAnsiTheme="majorHAnsi" w:cstheme="majorHAnsi"/>
        </w:rPr>
      </w:pPr>
      <w:r w:rsidRPr="00AD1496">
        <w:rPr>
          <w:rFonts w:asciiTheme="majorHAnsi" w:hAnsiTheme="majorHAnsi" w:cstheme="majorHAnsi"/>
        </w:rPr>
        <w:t>Most States indicated that State financial and technical resources were combined with NPA funding in order to achieve their agreed water reform goals</w:t>
      </w:r>
      <w:r w:rsidR="00BE3434" w:rsidRPr="00AD1496">
        <w:rPr>
          <w:rFonts w:asciiTheme="majorHAnsi" w:hAnsiTheme="majorHAnsi" w:cstheme="majorHAnsi"/>
        </w:rPr>
        <w:t xml:space="preserve"> and </w:t>
      </w:r>
      <w:r w:rsidR="00DC69DE" w:rsidRPr="00AD1496">
        <w:rPr>
          <w:rFonts w:asciiTheme="majorHAnsi" w:hAnsiTheme="majorHAnsi" w:cstheme="majorHAnsi"/>
        </w:rPr>
        <w:t>work towards meeting their performance milestones</w:t>
      </w:r>
      <w:r w:rsidRPr="00AD1496">
        <w:rPr>
          <w:rFonts w:asciiTheme="majorHAnsi" w:hAnsiTheme="majorHAnsi" w:cstheme="majorHAnsi"/>
        </w:rPr>
        <w:t xml:space="preserve">. This is consistent and appropriate for a State-Commonwealth partnership, especially given States have the majority of legal </w:t>
      </w:r>
      <w:r w:rsidR="008D73A2" w:rsidRPr="00AD1496">
        <w:rPr>
          <w:rFonts w:asciiTheme="majorHAnsi" w:hAnsiTheme="majorHAnsi" w:cstheme="majorHAnsi"/>
        </w:rPr>
        <w:t>responsibilities</w:t>
      </w:r>
      <w:r w:rsidRPr="00AD1496">
        <w:rPr>
          <w:rFonts w:asciiTheme="majorHAnsi" w:hAnsiTheme="majorHAnsi" w:cstheme="majorHAnsi"/>
        </w:rPr>
        <w:t xml:space="preserve"> and technical and professional capabilities with respect to water management. Enhanced specification of milestones, KPIs, assessment methods and standards at the </w:t>
      </w:r>
      <w:r w:rsidRPr="00AD1496">
        <w:rPr>
          <w:rFonts w:asciiTheme="majorHAnsi" w:hAnsiTheme="majorHAnsi" w:cstheme="majorHAnsi"/>
        </w:rPr>
        <w:lastRenderedPageBreak/>
        <w:t xml:space="preserve">outset of a future NPA </w:t>
      </w:r>
      <w:r w:rsidR="00DC69DE" w:rsidRPr="00AD1496">
        <w:rPr>
          <w:rFonts w:asciiTheme="majorHAnsi" w:hAnsiTheme="majorHAnsi" w:cstheme="majorHAnsi"/>
        </w:rPr>
        <w:t xml:space="preserve">may </w:t>
      </w:r>
      <w:r w:rsidR="00BE3434" w:rsidRPr="00AD1496">
        <w:rPr>
          <w:rFonts w:asciiTheme="majorHAnsi" w:hAnsiTheme="majorHAnsi" w:cstheme="majorHAnsi"/>
        </w:rPr>
        <w:t>make the use of these funds more efficient</w:t>
      </w:r>
      <w:r w:rsidRPr="00AD1496">
        <w:rPr>
          <w:rFonts w:asciiTheme="majorHAnsi" w:hAnsiTheme="majorHAnsi" w:cstheme="majorHAnsi"/>
        </w:rPr>
        <w:t>.</w:t>
      </w:r>
    </w:p>
    <w:p w14:paraId="6B024311" w14:textId="7C75D0B4" w:rsidR="00F00340" w:rsidRPr="00AD1496" w:rsidRDefault="00F00340" w:rsidP="00F00340">
      <w:pPr>
        <w:rPr>
          <w:rFonts w:asciiTheme="majorHAnsi" w:hAnsiTheme="majorHAnsi" w:cstheme="majorHAnsi"/>
        </w:rPr>
      </w:pPr>
      <w:r w:rsidRPr="00AD1496">
        <w:rPr>
          <w:rFonts w:asciiTheme="majorHAnsi" w:hAnsiTheme="majorHAnsi" w:cstheme="majorHAnsi"/>
        </w:rPr>
        <w:t xml:space="preserve">As is appropriate for a partnership, which draws on the shared capacities of the partners, the NPA funds have been used hand-in-hand with States’ water policy and management capacity. States recognise that the NPA was meant to drive change, not </w:t>
      </w:r>
      <w:r w:rsidR="00C57416" w:rsidRPr="00AD1496">
        <w:rPr>
          <w:rFonts w:asciiTheme="majorHAnsi" w:hAnsiTheme="majorHAnsi" w:cstheme="majorHAnsi"/>
        </w:rPr>
        <w:t xml:space="preserve">fund </w:t>
      </w:r>
      <w:r w:rsidR="00D35E64" w:rsidRPr="00AD1496">
        <w:rPr>
          <w:rFonts w:asciiTheme="majorHAnsi" w:hAnsiTheme="majorHAnsi" w:cstheme="majorHAnsi"/>
        </w:rPr>
        <w:t>operational practices and arrangements that States already had in place</w:t>
      </w:r>
      <w:r w:rsidR="00F5775D">
        <w:rPr>
          <w:rFonts w:asciiTheme="majorHAnsi" w:hAnsiTheme="majorHAnsi" w:cstheme="majorHAnsi"/>
        </w:rPr>
        <w:t>.</w:t>
      </w:r>
    </w:p>
    <w:p w14:paraId="21C6DF3F" w14:textId="77777777" w:rsidR="0096348B" w:rsidRPr="00AD1496" w:rsidRDefault="0096348B" w:rsidP="0096348B">
      <w:pPr>
        <w:pStyle w:val="Heading4"/>
        <w:rPr>
          <w:rFonts w:asciiTheme="majorHAnsi" w:hAnsiTheme="majorHAnsi" w:cstheme="majorHAnsi"/>
        </w:rPr>
      </w:pPr>
      <w:r w:rsidRPr="00AD1496">
        <w:rPr>
          <w:rFonts w:asciiTheme="majorHAnsi" w:hAnsiTheme="majorHAnsi" w:cstheme="majorHAnsi"/>
        </w:rPr>
        <w:t>There were changes in the context and the reporting arrangements</w:t>
      </w:r>
    </w:p>
    <w:p w14:paraId="236543A7" w14:textId="77777777" w:rsidR="00A33B8E" w:rsidRPr="00AD1496" w:rsidRDefault="00A33B8E" w:rsidP="00A33B8E">
      <w:pPr>
        <w:rPr>
          <w:rFonts w:asciiTheme="majorHAnsi" w:hAnsiTheme="majorHAnsi" w:cstheme="majorHAnsi"/>
        </w:rPr>
      </w:pPr>
      <w:r w:rsidRPr="00AD1496">
        <w:rPr>
          <w:rFonts w:asciiTheme="majorHAnsi" w:hAnsiTheme="majorHAnsi" w:cstheme="majorHAnsi"/>
        </w:rPr>
        <w:t>Water reform in the MDB has continued to evolve since the inception of the NPA and the Water Act. This is evidenced through amendments to the Act in 2008, 2012, 2013 and 2016 and the development of other instruments and agreements over the period of the NPA.</w:t>
      </w:r>
    </w:p>
    <w:p w14:paraId="0E82ACE3" w14:textId="64704D0A" w:rsidR="0096348B" w:rsidRPr="00AD1496" w:rsidRDefault="0096348B" w:rsidP="00AD6387">
      <w:pPr>
        <w:rPr>
          <w:rFonts w:asciiTheme="majorHAnsi" w:hAnsiTheme="majorHAnsi" w:cstheme="majorHAnsi"/>
        </w:rPr>
      </w:pPr>
      <w:r w:rsidRPr="00AD1496">
        <w:rPr>
          <w:rFonts w:asciiTheme="majorHAnsi" w:hAnsiTheme="majorHAnsi" w:cstheme="majorHAnsi"/>
        </w:rPr>
        <w:t xml:space="preserve">The NPA mid-term review resulted in changes to the Department’s assessment process. While States agreed to the </w:t>
      </w:r>
      <w:r w:rsidR="00AA6FB0" w:rsidRPr="00AD1496">
        <w:rPr>
          <w:rFonts w:asciiTheme="majorHAnsi" w:hAnsiTheme="majorHAnsi" w:cstheme="majorHAnsi"/>
        </w:rPr>
        <w:t>Australian Government’s</w:t>
      </w:r>
      <w:r w:rsidR="002D69E9" w:rsidRPr="00AD1496">
        <w:rPr>
          <w:rFonts w:asciiTheme="majorHAnsi" w:hAnsiTheme="majorHAnsi" w:cstheme="majorHAnsi"/>
        </w:rPr>
        <w:t xml:space="preserve"> proposed </w:t>
      </w:r>
      <w:r w:rsidRPr="00AD1496">
        <w:rPr>
          <w:rFonts w:asciiTheme="majorHAnsi" w:hAnsiTheme="majorHAnsi" w:cstheme="majorHAnsi"/>
        </w:rPr>
        <w:t>responses to the mid-</w:t>
      </w:r>
      <w:r w:rsidRPr="00AD1496">
        <w:rPr>
          <w:rFonts w:asciiTheme="majorHAnsi" w:hAnsiTheme="majorHAnsi" w:cstheme="majorHAnsi"/>
        </w:rPr>
        <w:lastRenderedPageBreak/>
        <w:t xml:space="preserve">term review, these changes increased the depth and kinds of evidence required to meet the milestones. States outlined this, and a lack of clarity in the milestones </w:t>
      </w:r>
      <w:r w:rsidR="00CA65EF" w:rsidRPr="00AD1496">
        <w:rPr>
          <w:rFonts w:asciiTheme="majorHAnsi" w:hAnsiTheme="majorHAnsi" w:cstheme="majorHAnsi"/>
        </w:rPr>
        <w:t>(see</w:t>
      </w:r>
      <w:r w:rsidR="00AD6387" w:rsidRPr="00AD1496">
        <w:rPr>
          <w:rFonts w:asciiTheme="majorHAnsi" w:hAnsiTheme="majorHAnsi" w:cstheme="majorHAnsi"/>
        </w:rPr>
        <w:t xml:space="preserve"> </w:t>
      </w:r>
      <w:r w:rsidR="00AD6387" w:rsidRPr="00AD1496">
        <w:rPr>
          <w:rFonts w:asciiTheme="majorHAnsi" w:hAnsiTheme="majorHAnsi" w:cstheme="majorHAnsi"/>
        </w:rPr>
        <w:fldChar w:fldCharType="begin"/>
      </w:r>
      <w:r w:rsidR="00AD6387" w:rsidRPr="00AD1496">
        <w:rPr>
          <w:rFonts w:asciiTheme="majorHAnsi" w:hAnsiTheme="majorHAnsi" w:cstheme="majorHAnsi"/>
        </w:rPr>
        <w:instrText xml:space="preserve"> REF _Ref18938263 \r \h </w:instrText>
      </w:r>
      <w:r w:rsidR="00AD1496">
        <w:rPr>
          <w:rFonts w:asciiTheme="majorHAnsi" w:hAnsiTheme="majorHAnsi" w:cstheme="majorHAnsi"/>
        </w:rPr>
        <w:instrText xml:space="preserve"> \* MERGEFORMAT </w:instrText>
      </w:r>
      <w:r w:rsidR="00AD6387" w:rsidRPr="00AD1496">
        <w:rPr>
          <w:rFonts w:asciiTheme="majorHAnsi" w:hAnsiTheme="majorHAnsi" w:cstheme="majorHAnsi"/>
        </w:rPr>
      </w:r>
      <w:r w:rsidR="00AD6387" w:rsidRPr="00AD1496">
        <w:rPr>
          <w:rFonts w:asciiTheme="majorHAnsi" w:hAnsiTheme="majorHAnsi" w:cstheme="majorHAnsi"/>
        </w:rPr>
        <w:fldChar w:fldCharType="separate"/>
      </w:r>
      <w:r w:rsidR="00DF313B">
        <w:rPr>
          <w:rFonts w:asciiTheme="majorHAnsi" w:hAnsiTheme="majorHAnsi" w:cstheme="majorHAnsi"/>
        </w:rPr>
        <w:t>3.2.2</w:t>
      </w:r>
      <w:r w:rsidR="00AD6387" w:rsidRPr="00AD1496">
        <w:rPr>
          <w:rFonts w:asciiTheme="majorHAnsi" w:hAnsiTheme="majorHAnsi" w:cstheme="majorHAnsi"/>
        </w:rPr>
        <w:fldChar w:fldCharType="end"/>
      </w:r>
      <w:r w:rsidR="00AD6387" w:rsidRPr="00AD1496">
        <w:rPr>
          <w:rFonts w:asciiTheme="majorHAnsi" w:hAnsiTheme="majorHAnsi" w:cstheme="majorHAnsi"/>
        </w:rPr>
        <w:t xml:space="preserve">) </w:t>
      </w:r>
      <w:r w:rsidRPr="00AD1496">
        <w:rPr>
          <w:rFonts w:asciiTheme="majorHAnsi" w:hAnsiTheme="majorHAnsi" w:cstheme="majorHAnsi"/>
        </w:rPr>
        <w:t xml:space="preserve">as contributing to </w:t>
      </w:r>
      <w:r w:rsidR="00FD2810" w:rsidRPr="00AD1496">
        <w:rPr>
          <w:rFonts w:asciiTheme="majorHAnsi" w:hAnsiTheme="majorHAnsi" w:cstheme="majorHAnsi"/>
        </w:rPr>
        <w:t xml:space="preserve">difficulties in </w:t>
      </w:r>
      <w:r w:rsidRPr="00AD1496">
        <w:rPr>
          <w:rFonts w:asciiTheme="majorHAnsi" w:hAnsiTheme="majorHAnsi" w:cstheme="majorHAnsi"/>
        </w:rPr>
        <w:t xml:space="preserve">reporting on the achievement of milestones over the life of the agreement. </w:t>
      </w:r>
    </w:p>
    <w:p w14:paraId="462F2A0D" w14:textId="0CF6F049" w:rsidR="0096348B" w:rsidRPr="00AD1496" w:rsidRDefault="0096348B" w:rsidP="0096348B">
      <w:pPr>
        <w:rPr>
          <w:rFonts w:asciiTheme="majorHAnsi" w:hAnsiTheme="majorHAnsi" w:cstheme="majorHAnsi"/>
        </w:rPr>
      </w:pPr>
      <w:r w:rsidRPr="00AD1496">
        <w:rPr>
          <w:rFonts w:asciiTheme="majorHAnsi" w:hAnsiTheme="majorHAnsi" w:cstheme="majorHAnsi"/>
        </w:rPr>
        <w:t xml:space="preserve">Around the same time as the mid-term review, increased scrutiny generated through Four Corners’ ‘Pumped’ report (2017) triggered State and </w:t>
      </w:r>
      <w:r w:rsidR="00C42104" w:rsidRPr="00AD1496">
        <w:rPr>
          <w:rFonts w:asciiTheme="majorHAnsi" w:hAnsiTheme="majorHAnsi" w:cstheme="majorHAnsi"/>
        </w:rPr>
        <w:t xml:space="preserve">Australian Government </w:t>
      </w:r>
      <w:r w:rsidRPr="00AD1496">
        <w:rPr>
          <w:rFonts w:asciiTheme="majorHAnsi" w:hAnsiTheme="majorHAnsi" w:cstheme="majorHAnsi"/>
        </w:rPr>
        <w:t>reviews and increased Ministerial and Departmental scrutiny of the NPA’s outcomes</w:t>
      </w:r>
      <w:r w:rsidR="00EA1516" w:rsidRPr="00AD1496">
        <w:rPr>
          <w:rFonts w:asciiTheme="majorHAnsi" w:hAnsiTheme="majorHAnsi" w:cstheme="majorHAnsi"/>
        </w:rPr>
        <w:t>.</w:t>
      </w:r>
    </w:p>
    <w:p w14:paraId="4354A9FE" w14:textId="250361A8" w:rsidR="00E749AA" w:rsidRPr="00AD1496" w:rsidRDefault="009F5C01" w:rsidP="0096348B">
      <w:pPr>
        <w:rPr>
          <w:rFonts w:asciiTheme="majorHAnsi" w:hAnsiTheme="majorHAnsi" w:cstheme="majorHAnsi"/>
        </w:rPr>
      </w:pPr>
      <w:r w:rsidRPr="00AD1496">
        <w:rPr>
          <w:rFonts w:asciiTheme="majorHAnsi" w:hAnsiTheme="majorHAnsi" w:cstheme="majorHAnsi"/>
        </w:rPr>
        <w:t>One of these reviews, t</w:t>
      </w:r>
      <w:r w:rsidR="00E749AA" w:rsidRPr="00AD1496">
        <w:rPr>
          <w:rFonts w:asciiTheme="majorHAnsi" w:hAnsiTheme="majorHAnsi" w:cstheme="majorHAnsi"/>
        </w:rPr>
        <w:t xml:space="preserve">he 2017 ANAO </w:t>
      </w:r>
      <w:r w:rsidRPr="00AD1496">
        <w:rPr>
          <w:rFonts w:asciiTheme="majorHAnsi" w:hAnsiTheme="majorHAnsi" w:cstheme="majorHAnsi"/>
        </w:rPr>
        <w:t xml:space="preserve">Assurance Review of NSW protection and use of environmental water in the Murray-Darling </w:t>
      </w:r>
      <w:r w:rsidR="00C14768" w:rsidRPr="00AD1496">
        <w:rPr>
          <w:rFonts w:asciiTheme="majorHAnsi" w:hAnsiTheme="majorHAnsi" w:cstheme="majorHAnsi"/>
        </w:rPr>
        <w:t>Basin,</w:t>
      </w:r>
      <w:r w:rsidRPr="00AD1496" w:rsidDel="009F5C01">
        <w:rPr>
          <w:rFonts w:asciiTheme="majorHAnsi" w:hAnsiTheme="majorHAnsi" w:cstheme="majorHAnsi"/>
        </w:rPr>
        <w:t xml:space="preserve"> </w:t>
      </w:r>
      <w:r w:rsidR="00E749AA" w:rsidRPr="00AD1496">
        <w:rPr>
          <w:rFonts w:asciiTheme="majorHAnsi" w:hAnsiTheme="majorHAnsi" w:cstheme="majorHAnsi"/>
        </w:rPr>
        <w:t>resulted in the Department re-evaluating assessment methods. The</w:t>
      </w:r>
      <w:r w:rsidR="00C14768" w:rsidRPr="00AD1496">
        <w:rPr>
          <w:rFonts w:asciiTheme="majorHAnsi" w:hAnsiTheme="majorHAnsi" w:cstheme="majorHAnsi"/>
        </w:rPr>
        <w:t xml:space="preserve"> concurrent</w:t>
      </w:r>
      <w:r w:rsidR="00E749AA" w:rsidRPr="00AD1496">
        <w:rPr>
          <w:rFonts w:asciiTheme="majorHAnsi" w:hAnsiTheme="majorHAnsi" w:cstheme="majorHAnsi"/>
        </w:rPr>
        <w:t xml:space="preserve"> </w:t>
      </w:r>
      <w:r w:rsidRPr="00AD1496">
        <w:rPr>
          <w:rFonts w:asciiTheme="majorHAnsi" w:hAnsiTheme="majorHAnsi" w:cstheme="majorHAnsi"/>
        </w:rPr>
        <w:t xml:space="preserve">increased </w:t>
      </w:r>
      <w:r w:rsidR="00E749AA" w:rsidRPr="00AD1496">
        <w:rPr>
          <w:rFonts w:asciiTheme="majorHAnsi" w:hAnsiTheme="majorHAnsi" w:cstheme="majorHAnsi"/>
        </w:rPr>
        <w:t xml:space="preserve">focus </w:t>
      </w:r>
      <w:r w:rsidRPr="00AD1496">
        <w:rPr>
          <w:rFonts w:asciiTheme="majorHAnsi" w:hAnsiTheme="majorHAnsi" w:cstheme="majorHAnsi"/>
        </w:rPr>
        <w:t xml:space="preserve">on compliance </w:t>
      </w:r>
      <w:r w:rsidR="00E749AA" w:rsidRPr="00AD1496">
        <w:rPr>
          <w:rFonts w:asciiTheme="majorHAnsi" w:hAnsiTheme="majorHAnsi" w:cstheme="majorHAnsi"/>
        </w:rPr>
        <w:t xml:space="preserve">resulted in </w:t>
      </w:r>
      <w:r w:rsidR="00B46FF0">
        <w:rPr>
          <w:rFonts w:asciiTheme="majorHAnsi" w:hAnsiTheme="majorHAnsi" w:cstheme="majorHAnsi"/>
        </w:rPr>
        <w:t xml:space="preserve">States’ </w:t>
      </w:r>
      <w:r w:rsidR="00E749AA" w:rsidRPr="00AD1496">
        <w:rPr>
          <w:rFonts w:asciiTheme="majorHAnsi" w:hAnsiTheme="majorHAnsi" w:cstheme="majorHAnsi"/>
        </w:rPr>
        <w:t xml:space="preserve">reporting obligations </w:t>
      </w:r>
      <w:r w:rsidR="00753646">
        <w:rPr>
          <w:rFonts w:asciiTheme="majorHAnsi" w:hAnsiTheme="majorHAnsi" w:cstheme="majorHAnsi"/>
        </w:rPr>
        <w:t>being</w:t>
      </w:r>
      <w:r w:rsidR="00E749AA" w:rsidRPr="00AD1496">
        <w:rPr>
          <w:rFonts w:asciiTheme="majorHAnsi" w:hAnsiTheme="majorHAnsi" w:cstheme="majorHAnsi"/>
        </w:rPr>
        <w:t xml:space="preserve"> ramped up and made more stringent. </w:t>
      </w:r>
      <w:r w:rsidR="00C71486">
        <w:rPr>
          <w:rFonts w:asciiTheme="majorHAnsi" w:hAnsiTheme="majorHAnsi" w:cstheme="majorHAnsi"/>
        </w:rPr>
        <w:t>T</w:t>
      </w:r>
      <w:r w:rsidR="00E749AA" w:rsidRPr="00AD1496">
        <w:rPr>
          <w:rFonts w:asciiTheme="majorHAnsi" w:hAnsiTheme="majorHAnsi" w:cstheme="majorHAnsi"/>
        </w:rPr>
        <w:t xml:space="preserve">his resulted in delays </w:t>
      </w:r>
      <w:r w:rsidR="00C71486">
        <w:rPr>
          <w:rFonts w:asciiTheme="majorHAnsi" w:hAnsiTheme="majorHAnsi" w:cstheme="majorHAnsi"/>
        </w:rPr>
        <w:t>to the</w:t>
      </w:r>
      <w:r w:rsidR="00E749AA" w:rsidRPr="00AD1496">
        <w:rPr>
          <w:rFonts w:asciiTheme="majorHAnsi" w:hAnsiTheme="majorHAnsi" w:cstheme="majorHAnsi"/>
        </w:rPr>
        <w:t xml:space="preserve"> assessment </w:t>
      </w:r>
      <w:r w:rsidR="00C71486">
        <w:rPr>
          <w:rFonts w:asciiTheme="majorHAnsi" w:hAnsiTheme="majorHAnsi" w:cstheme="majorHAnsi"/>
        </w:rPr>
        <w:t xml:space="preserve">process </w:t>
      </w:r>
      <w:r w:rsidR="00E749AA" w:rsidRPr="00AD1496">
        <w:rPr>
          <w:rFonts w:asciiTheme="majorHAnsi" w:hAnsiTheme="majorHAnsi" w:cstheme="majorHAnsi"/>
        </w:rPr>
        <w:t xml:space="preserve">due to </w:t>
      </w:r>
      <w:r w:rsidR="00C14768" w:rsidRPr="00AD1496">
        <w:rPr>
          <w:rFonts w:asciiTheme="majorHAnsi" w:hAnsiTheme="majorHAnsi" w:cstheme="majorHAnsi"/>
        </w:rPr>
        <w:t xml:space="preserve">the </w:t>
      </w:r>
      <w:r w:rsidR="00E749AA" w:rsidRPr="00AD1496">
        <w:rPr>
          <w:rFonts w:asciiTheme="majorHAnsi" w:hAnsiTheme="majorHAnsi" w:cstheme="majorHAnsi"/>
        </w:rPr>
        <w:t xml:space="preserve">additional </w:t>
      </w:r>
      <w:r w:rsidR="00E749AA" w:rsidRPr="00AD1496">
        <w:rPr>
          <w:rFonts w:asciiTheme="majorHAnsi" w:hAnsiTheme="majorHAnsi" w:cstheme="majorHAnsi"/>
        </w:rPr>
        <w:lastRenderedPageBreak/>
        <w:t xml:space="preserve">depth of analysis </w:t>
      </w:r>
      <w:r w:rsidR="00C71486">
        <w:rPr>
          <w:rFonts w:asciiTheme="majorHAnsi" w:hAnsiTheme="majorHAnsi" w:cstheme="majorHAnsi"/>
        </w:rPr>
        <w:t xml:space="preserve">required </w:t>
      </w:r>
      <w:r w:rsidR="00E749AA" w:rsidRPr="00AD1496">
        <w:rPr>
          <w:rFonts w:asciiTheme="majorHAnsi" w:hAnsiTheme="majorHAnsi" w:cstheme="majorHAnsi"/>
        </w:rPr>
        <w:t>and</w:t>
      </w:r>
      <w:r w:rsidR="00C71486">
        <w:rPr>
          <w:rFonts w:asciiTheme="majorHAnsi" w:hAnsiTheme="majorHAnsi" w:cstheme="majorHAnsi"/>
        </w:rPr>
        <w:t xml:space="preserve"> therefore delays in</w:t>
      </w:r>
      <w:r w:rsidR="00753646">
        <w:rPr>
          <w:rFonts w:asciiTheme="majorHAnsi" w:hAnsiTheme="majorHAnsi" w:cstheme="majorHAnsi"/>
        </w:rPr>
        <w:t xml:space="preserve"> the</w:t>
      </w:r>
      <w:r w:rsidR="00E749AA" w:rsidRPr="00AD1496">
        <w:rPr>
          <w:rFonts w:asciiTheme="majorHAnsi" w:hAnsiTheme="majorHAnsi" w:cstheme="majorHAnsi"/>
        </w:rPr>
        <w:t xml:space="preserve"> associated payments to States</w:t>
      </w:r>
      <w:r w:rsidR="00E749AA" w:rsidRPr="00AD1496">
        <w:rPr>
          <w:rFonts w:asciiTheme="majorHAnsi" w:hAnsiTheme="majorHAnsi" w:cstheme="majorHAnsi"/>
          <w:vertAlign w:val="superscript"/>
        </w:rPr>
        <w:footnoteReference w:id="4"/>
      </w:r>
      <w:r w:rsidR="00E749AA" w:rsidRPr="00AD1496">
        <w:rPr>
          <w:rFonts w:asciiTheme="majorHAnsi" w:hAnsiTheme="majorHAnsi" w:cstheme="majorHAnsi"/>
        </w:rPr>
        <w:t>.</w:t>
      </w:r>
    </w:p>
    <w:p w14:paraId="3A4FC860" w14:textId="6DC42EFA" w:rsidR="0096348B" w:rsidRPr="00AD1496" w:rsidRDefault="000A7DD0" w:rsidP="00F00340">
      <w:pPr>
        <w:rPr>
          <w:rFonts w:asciiTheme="majorHAnsi" w:hAnsiTheme="majorHAnsi" w:cstheme="majorHAnsi"/>
        </w:rPr>
      </w:pPr>
      <w:r w:rsidRPr="00AD1496">
        <w:rPr>
          <w:rFonts w:asciiTheme="majorHAnsi" w:hAnsiTheme="majorHAnsi" w:cstheme="majorHAnsi"/>
        </w:rPr>
        <w:t>S</w:t>
      </w:r>
      <w:r w:rsidR="00CA65EF" w:rsidRPr="00AD1496">
        <w:rPr>
          <w:rFonts w:asciiTheme="majorHAnsi" w:hAnsiTheme="majorHAnsi" w:cstheme="majorHAnsi"/>
        </w:rPr>
        <w:t>takeholders indicated that following the</w:t>
      </w:r>
      <w:r w:rsidRPr="00AD1496">
        <w:rPr>
          <w:rFonts w:asciiTheme="majorHAnsi" w:hAnsiTheme="majorHAnsi" w:cstheme="majorHAnsi"/>
        </w:rPr>
        <w:t>se 2017 changes, including the</w:t>
      </w:r>
      <w:r w:rsidR="00CA65EF" w:rsidRPr="00AD1496">
        <w:rPr>
          <w:rFonts w:asciiTheme="majorHAnsi" w:hAnsiTheme="majorHAnsi" w:cstheme="majorHAnsi"/>
        </w:rPr>
        <w:t xml:space="preserve"> implementation of recommendations from the mid-term review</w:t>
      </w:r>
      <w:r w:rsidR="009F5C01" w:rsidRPr="00AD1496">
        <w:rPr>
          <w:rFonts w:asciiTheme="majorHAnsi" w:hAnsiTheme="majorHAnsi" w:cstheme="majorHAnsi"/>
        </w:rPr>
        <w:t>,</w:t>
      </w:r>
      <w:r w:rsidR="00CA65EF" w:rsidRPr="00AD1496">
        <w:rPr>
          <w:rFonts w:asciiTheme="majorHAnsi" w:hAnsiTheme="majorHAnsi" w:cstheme="majorHAnsi"/>
        </w:rPr>
        <w:t xml:space="preserve"> and as the end of the NPA—and deadlines to achieve the milestones—approached, the assessment process </w:t>
      </w:r>
      <w:r w:rsidR="001E67F2" w:rsidRPr="00AD1496">
        <w:rPr>
          <w:rFonts w:asciiTheme="majorHAnsi" w:hAnsiTheme="majorHAnsi" w:cstheme="majorHAnsi"/>
        </w:rPr>
        <w:t xml:space="preserve">became </w:t>
      </w:r>
      <w:r w:rsidR="00CA65EF" w:rsidRPr="00AD1496">
        <w:rPr>
          <w:rFonts w:asciiTheme="majorHAnsi" w:hAnsiTheme="majorHAnsi" w:cstheme="majorHAnsi"/>
        </w:rPr>
        <w:t xml:space="preserve">more complex. </w:t>
      </w:r>
      <w:r w:rsidR="0096348B" w:rsidRPr="00AD1496">
        <w:rPr>
          <w:rFonts w:asciiTheme="majorHAnsi" w:hAnsiTheme="majorHAnsi" w:cstheme="majorHAnsi"/>
        </w:rPr>
        <w:t xml:space="preserve">This period was a pivot point that appears to have accelerated </w:t>
      </w:r>
      <w:r w:rsidR="00630F53">
        <w:rPr>
          <w:rFonts w:asciiTheme="majorHAnsi" w:hAnsiTheme="majorHAnsi" w:cstheme="majorHAnsi"/>
        </w:rPr>
        <w:t xml:space="preserve">progress towards </w:t>
      </w:r>
      <w:r w:rsidR="0096348B" w:rsidRPr="00AD1496">
        <w:rPr>
          <w:rFonts w:asciiTheme="majorHAnsi" w:hAnsiTheme="majorHAnsi" w:cstheme="majorHAnsi"/>
        </w:rPr>
        <w:t>achievement of NPA objectives</w:t>
      </w:r>
      <w:r w:rsidR="006F1D91">
        <w:rPr>
          <w:rFonts w:asciiTheme="majorHAnsi" w:hAnsiTheme="majorHAnsi" w:cstheme="majorHAnsi"/>
        </w:rPr>
        <w:t xml:space="preserve"> </w:t>
      </w:r>
      <w:r w:rsidR="001E2C53">
        <w:rPr>
          <w:rFonts w:asciiTheme="majorHAnsi" w:hAnsiTheme="majorHAnsi" w:cstheme="majorHAnsi"/>
        </w:rPr>
        <w:t xml:space="preserve">in NSW </w:t>
      </w:r>
      <w:r w:rsidR="006F1D91">
        <w:rPr>
          <w:rFonts w:asciiTheme="majorHAnsi" w:hAnsiTheme="majorHAnsi" w:cstheme="majorHAnsi"/>
        </w:rPr>
        <w:t>and an increased focus on compliance in all states.</w:t>
      </w:r>
      <w:r w:rsidR="0096348B" w:rsidRPr="00AD1496">
        <w:rPr>
          <w:rFonts w:asciiTheme="majorHAnsi" w:hAnsiTheme="majorHAnsi" w:cstheme="majorHAnsi"/>
        </w:rPr>
        <w:t xml:space="preserve"> States </w:t>
      </w:r>
      <w:r w:rsidR="00CA65EF" w:rsidRPr="00AD1496">
        <w:rPr>
          <w:rFonts w:asciiTheme="majorHAnsi" w:hAnsiTheme="majorHAnsi" w:cstheme="majorHAnsi"/>
        </w:rPr>
        <w:t>highlighted</w:t>
      </w:r>
      <w:r w:rsidR="00EE2AE8">
        <w:rPr>
          <w:rFonts w:asciiTheme="majorHAnsi" w:hAnsiTheme="majorHAnsi" w:cstheme="majorHAnsi"/>
        </w:rPr>
        <w:t xml:space="preserve"> </w:t>
      </w:r>
      <w:r w:rsidR="00CA65EF" w:rsidRPr="00AD1496">
        <w:rPr>
          <w:rFonts w:asciiTheme="majorHAnsi" w:hAnsiTheme="majorHAnsi" w:cstheme="majorHAnsi"/>
        </w:rPr>
        <w:t>an</w:t>
      </w:r>
      <w:r w:rsidR="0096348B" w:rsidRPr="00AD1496">
        <w:rPr>
          <w:rFonts w:asciiTheme="majorHAnsi" w:hAnsiTheme="majorHAnsi" w:cstheme="majorHAnsi"/>
        </w:rPr>
        <w:t xml:space="preserve"> increase in reporting requirements</w:t>
      </w:r>
      <w:r w:rsidR="00441DEC">
        <w:rPr>
          <w:rFonts w:asciiTheme="majorHAnsi" w:hAnsiTheme="majorHAnsi" w:cstheme="majorHAnsi"/>
        </w:rPr>
        <w:t xml:space="preserve"> which</w:t>
      </w:r>
      <w:r w:rsidR="00906490">
        <w:rPr>
          <w:rFonts w:asciiTheme="majorHAnsi" w:hAnsiTheme="majorHAnsi" w:cstheme="majorHAnsi"/>
        </w:rPr>
        <w:t xml:space="preserve"> </w:t>
      </w:r>
      <w:r w:rsidR="009A072E">
        <w:rPr>
          <w:rFonts w:asciiTheme="majorHAnsi" w:hAnsiTheme="majorHAnsi" w:cstheme="majorHAnsi"/>
        </w:rPr>
        <w:t>may in part reflect the</w:t>
      </w:r>
      <w:r w:rsidR="00906490">
        <w:rPr>
          <w:rFonts w:asciiTheme="majorHAnsi" w:hAnsiTheme="majorHAnsi" w:cstheme="majorHAnsi"/>
        </w:rPr>
        <w:t>ir involvement in</w:t>
      </w:r>
      <w:r w:rsidR="00CA65EF" w:rsidRPr="00AD1496">
        <w:rPr>
          <w:rFonts w:asciiTheme="majorHAnsi" w:hAnsiTheme="majorHAnsi" w:cstheme="majorHAnsi"/>
        </w:rPr>
        <w:t xml:space="preserve"> multiple reviews and reporting mechanisms </w:t>
      </w:r>
      <w:r w:rsidR="00906490">
        <w:rPr>
          <w:rFonts w:asciiTheme="majorHAnsi" w:hAnsiTheme="majorHAnsi" w:cstheme="majorHAnsi"/>
        </w:rPr>
        <w:t>at the time</w:t>
      </w:r>
      <w:r w:rsidR="0036749E">
        <w:rPr>
          <w:rFonts w:asciiTheme="majorHAnsi" w:hAnsiTheme="majorHAnsi" w:cstheme="majorHAnsi"/>
        </w:rPr>
        <w:t>;</w:t>
      </w:r>
      <w:r w:rsidR="00906490">
        <w:rPr>
          <w:rFonts w:asciiTheme="majorHAnsi" w:hAnsiTheme="majorHAnsi" w:cstheme="majorHAnsi"/>
        </w:rPr>
        <w:t xml:space="preserve"> </w:t>
      </w:r>
      <w:r w:rsidR="00441DEC">
        <w:rPr>
          <w:rFonts w:asciiTheme="majorHAnsi" w:hAnsiTheme="majorHAnsi" w:cstheme="majorHAnsi"/>
        </w:rPr>
        <w:t>however</w:t>
      </w:r>
      <w:r w:rsidR="0036749E">
        <w:rPr>
          <w:rFonts w:asciiTheme="majorHAnsi" w:hAnsiTheme="majorHAnsi" w:cstheme="majorHAnsi"/>
        </w:rPr>
        <w:t>,</w:t>
      </w:r>
      <w:r w:rsidR="00441DEC">
        <w:rPr>
          <w:rFonts w:asciiTheme="majorHAnsi" w:hAnsiTheme="majorHAnsi" w:cstheme="majorHAnsi"/>
        </w:rPr>
        <w:t xml:space="preserve"> </w:t>
      </w:r>
      <w:r w:rsidR="00906490">
        <w:rPr>
          <w:rFonts w:asciiTheme="majorHAnsi" w:hAnsiTheme="majorHAnsi" w:cstheme="majorHAnsi"/>
        </w:rPr>
        <w:t>NPA r</w:t>
      </w:r>
      <w:r w:rsidR="00E72A80" w:rsidRPr="00AD1496">
        <w:rPr>
          <w:rFonts w:asciiTheme="majorHAnsi" w:hAnsiTheme="majorHAnsi" w:cstheme="majorHAnsi"/>
        </w:rPr>
        <w:t xml:space="preserve">eporting obligations </w:t>
      </w:r>
      <w:r w:rsidR="00595BD1">
        <w:rPr>
          <w:rFonts w:asciiTheme="majorHAnsi" w:hAnsiTheme="majorHAnsi" w:cstheme="majorHAnsi"/>
        </w:rPr>
        <w:t xml:space="preserve">have </w:t>
      </w:r>
      <w:r w:rsidR="00E72A80" w:rsidRPr="00AD1496">
        <w:rPr>
          <w:rFonts w:asciiTheme="majorHAnsi" w:hAnsiTheme="majorHAnsi" w:cstheme="majorHAnsi"/>
        </w:rPr>
        <w:t xml:space="preserve">also increased </w:t>
      </w:r>
      <w:r w:rsidR="00595BD1">
        <w:rPr>
          <w:rFonts w:asciiTheme="majorHAnsi" w:hAnsiTheme="majorHAnsi" w:cstheme="majorHAnsi"/>
        </w:rPr>
        <w:t>over time</w:t>
      </w:r>
      <w:r w:rsidR="00906490">
        <w:rPr>
          <w:rFonts w:asciiTheme="majorHAnsi" w:hAnsiTheme="majorHAnsi" w:cstheme="majorHAnsi"/>
        </w:rPr>
        <w:t xml:space="preserve">. This </w:t>
      </w:r>
      <w:r w:rsidR="000349C1">
        <w:rPr>
          <w:rFonts w:asciiTheme="majorHAnsi" w:hAnsiTheme="majorHAnsi" w:cstheme="majorHAnsi"/>
        </w:rPr>
        <w:t xml:space="preserve">reflects the </w:t>
      </w:r>
      <w:r w:rsidR="000349C1">
        <w:rPr>
          <w:rFonts w:asciiTheme="majorHAnsi" w:hAnsiTheme="majorHAnsi" w:cstheme="majorHAnsi"/>
        </w:rPr>
        <w:lastRenderedPageBreak/>
        <w:t>increasing complexity of the assessment process discussed above</w:t>
      </w:r>
      <w:r w:rsidR="00906490">
        <w:rPr>
          <w:rFonts w:asciiTheme="majorHAnsi" w:hAnsiTheme="majorHAnsi" w:cstheme="majorHAnsi"/>
        </w:rPr>
        <w:t xml:space="preserve">, </w:t>
      </w:r>
      <w:r w:rsidR="00C71486">
        <w:rPr>
          <w:rFonts w:asciiTheme="majorHAnsi" w:hAnsiTheme="majorHAnsi" w:cstheme="majorHAnsi"/>
        </w:rPr>
        <w:t>including</w:t>
      </w:r>
      <w:r w:rsidR="00906490">
        <w:rPr>
          <w:rFonts w:asciiTheme="majorHAnsi" w:hAnsiTheme="majorHAnsi" w:cstheme="majorHAnsi"/>
        </w:rPr>
        <w:t xml:space="preserve"> the </w:t>
      </w:r>
      <w:r w:rsidR="00E72A80" w:rsidRPr="00AD1496">
        <w:rPr>
          <w:rFonts w:asciiTheme="majorHAnsi" w:hAnsiTheme="majorHAnsi" w:cstheme="majorHAnsi"/>
        </w:rPr>
        <w:t xml:space="preserve">Commonwealth’s </w:t>
      </w:r>
      <w:r w:rsidR="00906490">
        <w:rPr>
          <w:rFonts w:asciiTheme="majorHAnsi" w:hAnsiTheme="majorHAnsi" w:cstheme="majorHAnsi"/>
        </w:rPr>
        <w:t xml:space="preserve">decision </w:t>
      </w:r>
      <w:r w:rsidR="00E72A80" w:rsidRPr="00AD1496">
        <w:rPr>
          <w:rFonts w:asciiTheme="majorHAnsi" w:hAnsiTheme="majorHAnsi" w:cstheme="majorHAnsi"/>
        </w:rPr>
        <w:t xml:space="preserve">to </w:t>
      </w:r>
      <w:r w:rsidR="006F1D91">
        <w:rPr>
          <w:rFonts w:asciiTheme="majorHAnsi" w:hAnsiTheme="majorHAnsi" w:cstheme="majorHAnsi"/>
        </w:rPr>
        <w:t xml:space="preserve">explicitly </w:t>
      </w:r>
      <w:r w:rsidR="00E72A80" w:rsidRPr="00AD1496">
        <w:rPr>
          <w:rFonts w:asciiTheme="majorHAnsi" w:hAnsiTheme="majorHAnsi" w:cstheme="majorHAnsi"/>
        </w:rPr>
        <w:t xml:space="preserve">include </w:t>
      </w:r>
      <w:r w:rsidR="00906490">
        <w:rPr>
          <w:rFonts w:asciiTheme="majorHAnsi" w:hAnsiTheme="majorHAnsi" w:cstheme="majorHAnsi"/>
        </w:rPr>
        <w:t xml:space="preserve">reporting on </w:t>
      </w:r>
      <w:r w:rsidR="00595BD1">
        <w:rPr>
          <w:rFonts w:asciiTheme="majorHAnsi" w:hAnsiTheme="majorHAnsi" w:cstheme="majorHAnsi"/>
        </w:rPr>
        <w:t>Compliance Compact implementation.</w:t>
      </w:r>
      <w:r w:rsidR="0017090F" w:rsidRPr="00AD1496">
        <w:rPr>
          <w:rFonts w:asciiTheme="majorHAnsi" w:hAnsiTheme="majorHAnsi" w:cstheme="majorHAnsi"/>
        </w:rPr>
        <w:t xml:space="preserve"> </w:t>
      </w:r>
    </w:p>
    <w:p w14:paraId="01971D76" w14:textId="1BF5858C" w:rsidR="001B17A3" w:rsidRPr="00AD1496" w:rsidRDefault="001B17A3" w:rsidP="001B17A3">
      <w:pPr>
        <w:pStyle w:val="Heading3"/>
        <w:rPr>
          <w:rFonts w:asciiTheme="majorHAnsi" w:hAnsiTheme="majorHAnsi" w:cstheme="majorHAnsi"/>
        </w:rPr>
      </w:pPr>
      <w:r w:rsidRPr="00AD1496">
        <w:rPr>
          <w:rFonts w:asciiTheme="majorHAnsi" w:hAnsiTheme="majorHAnsi" w:cstheme="majorHAnsi"/>
        </w:rPr>
        <w:t xml:space="preserve">Most NPA milestones were </w:t>
      </w:r>
      <w:r w:rsidR="00015AC6" w:rsidRPr="00AD1496">
        <w:rPr>
          <w:rFonts w:asciiTheme="majorHAnsi" w:hAnsiTheme="majorHAnsi" w:cstheme="majorHAnsi"/>
        </w:rPr>
        <w:t>met</w:t>
      </w:r>
    </w:p>
    <w:p w14:paraId="7F53654A" w14:textId="4348583E" w:rsidR="001B17A3" w:rsidRPr="00AD1496" w:rsidRDefault="001B17A3" w:rsidP="001B17A3">
      <w:pPr>
        <w:pStyle w:val="ListBullet"/>
        <w:numPr>
          <w:ilvl w:val="0"/>
          <w:numId w:val="0"/>
        </w:numPr>
        <w:rPr>
          <w:rFonts w:asciiTheme="majorHAnsi" w:hAnsiTheme="majorHAnsi" w:cstheme="majorHAnsi"/>
        </w:rPr>
      </w:pPr>
      <w:r w:rsidRPr="00AD1496">
        <w:rPr>
          <w:rFonts w:asciiTheme="majorHAnsi" w:hAnsiTheme="majorHAnsi" w:cstheme="majorHAnsi"/>
        </w:rPr>
        <w:t xml:space="preserve">There are </w:t>
      </w:r>
      <w:r w:rsidR="00B83ABC" w:rsidRPr="00AD1496">
        <w:rPr>
          <w:rFonts w:asciiTheme="majorHAnsi" w:hAnsiTheme="majorHAnsi" w:cstheme="majorHAnsi"/>
        </w:rPr>
        <w:t>nine</w:t>
      </w:r>
      <w:r w:rsidRPr="00AD1496">
        <w:rPr>
          <w:rFonts w:asciiTheme="majorHAnsi" w:hAnsiTheme="majorHAnsi" w:cstheme="majorHAnsi"/>
        </w:rPr>
        <w:t xml:space="preserve"> performance milestones as per Schedule A in the National Partnership Agreement on Implementing Water Reform in the Murray-Darling Basin (see </w:t>
      </w:r>
      <w:r w:rsidRPr="00AD1496">
        <w:rPr>
          <w:rFonts w:asciiTheme="majorHAnsi" w:hAnsiTheme="majorHAnsi" w:cstheme="majorHAnsi"/>
        </w:rPr>
        <w:fldChar w:fldCharType="begin"/>
      </w:r>
      <w:r w:rsidRPr="00AD1496">
        <w:rPr>
          <w:rFonts w:asciiTheme="majorHAnsi" w:hAnsiTheme="majorHAnsi" w:cstheme="majorHAnsi"/>
        </w:rPr>
        <w:instrText xml:space="preserve"> REF _Ref16601932 \r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Appendix 5</w:t>
      </w:r>
      <w:r w:rsidRPr="00AD1496">
        <w:rPr>
          <w:rFonts w:asciiTheme="majorHAnsi" w:hAnsiTheme="majorHAnsi" w:cstheme="majorHAnsi"/>
        </w:rPr>
        <w:fldChar w:fldCharType="end"/>
      </w:r>
      <w:r w:rsidRPr="00AD1496">
        <w:rPr>
          <w:rFonts w:asciiTheme="majorHAnsi" w:hAnsiTheme="majorHAnsi" w:cstheme="majorHAnsi"/>
        </w:rPr>
        <w:t xml:space="preserve">). Several milestones are </w:t>
      </w:r>
      <w:r w:rsidR="00FD2810" w:rsidRPr="00AD1496">
        <w:rPr>
          <w:rFonts w:asciiTheme="majorHAnsi" w:hAnsiTheme="majorHAnsi" w:cstheme="majorHAnsi"/>
        </w:rPr>
        <w:t xml:space="preserve">substantially </w:t>
      </w:r>
      <w:r w:rsidRPr="00AD1496">
        <w:rPr>
          <w:rFonts w:asciiTheme="majorHAnsi" w:hAnsiTheme="majorHAnsi" w:cstheme="majorHAnsi"/>
        </w:rPr>
        <w:t>equivalent:</w:t>
      </w:r>
    </w:p>
    <w:p w14:paraId="3D61CC5B" w14:textId="77777777" w:rsidR="001B17A3" w:rsidRPr="00AD1496" w:rsidRDefault="001B17A3" w:rsidP="001B17A3">
      <w:pPr>
        <w:pStyle w:val="ListBullet"/>
        <w:numPr>
          <w:ilvl w:val="0"/>
          <w:numId w:val="0"/>
        </w:numPr>
        <w:rPr>
          <w:rFonts w:asciiTheme="majorHAnsi" w:hAnsiTheme="majorHAnsi" w:cstheme="majorHAnsi"/>
        </w:rPr>
      </w:pPr>
    </w:p>
    <w:p w14:paraId="6BE99E4A" w14:textId="77777777" w:rsidR="001B17A3" w:rsidRPr="00AD1496" w:rsidRDefault="001B17A3" w:rsidP="001B17A3">
      <w:pPr>
        <w:pStyle w:val="ListBullet"/>
        <w:rPr>
          <w:rFonts w:asciiTheme="majorHAnsi" w:hAnsiTheme="majorHAnsi" w:cstheme="majorHAnsi"/>
        </w:rPr>
      </w:pPr>
      <w:r w:rsidRPr="00AD1496">
        <w:rPr>
          <w:rFonts w:asciiTheme="majorHAnsi" w:hAnsiTheme="majorHAnsi" w:cstheme="majorHAnsi"/>
        </w:rPr>
        <w:t>Milestones 2 and 6</w:t>
      </w:r>
    </w:p>
    <w:p w14:paraId="7C6A77E9" w14:textId="77777777" w:rsidR="001B17A3" w:rsidRPr="00AD1496" w:rsidRDefault="001B17A3" w:rsidP="001B17A3">
      <w:pPr>
        <w:pStyle w:val="ListBullet"/>
        <w:rPr>
          <w:rFonts w:asciiTheme="majorHAnsi" w:hAnsiTheme="majorHAnsi" w:cstheme="majorHAnsi"/>
        </w:rPr>
      </w:pPr>
      <w:r w:rsidRPr="00AD1496">
        <w:rPr>
          <w:rFonts w:asciiTheme="majorHAnsi" w:hAnsiTheme="majorHAnsi" w:cstheme="majorHAnsi"/>
        </w:rPr>
        <w:t>Milestones 3 and 7</w:t>
      </w:r>
    </w:p>
    <w:p w14:paraId="1B872FBD" w14:textId="77777777" w:rsidR="001B17A3" w:rsidRPr="00AD1496" w:rsidRDefault="001B17A3" w:rsidP="001B17A3">
      <w:pPr>
        <w:pStyle w:val="ListBullet"/>
        <w:rPr>
          <w:rFonts w:asciiTheme="majorHAnsi" w:hAnsiTheme="majorHAnsi" w:cstheme="majorHAnsi"/>
        </w:rPr>
      </w:pPr>
      <w:r w:rsidRPr="00AD1496">
        <w:rPr>
          <w:rFonts w:asciiTheme="majorHAnsi" w:hAnsiTheme="majorHAnsi" w:cstheme="majorHAnsi"/>
        </w:rPr>
        <w:t>Milestones 4 and 8</w:t>
      </w:r>
    </w:p>
    <w:p w14:paraId="2C3F3682" w14:textId="77777777" w:rsidR="001B17A3" w:rsidRPr="00AD1496" w:rsidRDefault="001B17A3" w:rsidP="001B17A3">
      <w:pPr>
        <w:pStyle w:val="ListBullet"/>
        <w:rPr>
          <w:rFonts w:asciiTheme="majorHAnsi" w:hAnsiTheme="majorHAnsi" w:cstheme="majorHAnsi"/>
        </w:rPr>
      </w:pPr>
      <w:r w:rsidRPr="00AD1496">
        <w:rPr>
          <w:rFonts w:asciiTheme="majorHAnsi" w:hAnsiTheme="majorHAnsi" w:cstheme="majorHAnsi"/>
        </w:rPr>
        <w:t xml:space="preserve">Milestones 5 and 9. </w:t>
      </w:r>
    </w:p>
    <w:p w14:paraId="101AF2B2" w14:textId="77777777" w:rsidR="001B17A3" w:rsidRPr="00AD1496" w:rsidRDefault="001B17A3" w:rsidP="001B17A3">
      <w:pPr>
        <w:pStyle w:val="ListBullet"/>
        <w:numPr>
          <w:ilvl w:val="0"/>
          <w:numId w:val="0"/>
        </w:numPr>
        <w:rPr>
          <w:rFonts w:asciiTheme="majorHAnsi" w:hAnsiTheme="majorHAnsi" w:cstheme="majorHAnsi"/>
        </w:rPr>
      </w:pPr>
    </w:p>
    <w:p w14:paraId="1A27BFD9" w14:textId="67F2C01C" w:rsidR="00E749AA" w:rsidRPr="00AD1496" w:rsidRDefault="00E749AA" w:rsidP="00E749AA">
      <w:pPr>
        <w:rPr>
          <w:rFonts w:asciiTheme="majorHAnsi" w:hAnsiTheme="majorHAnsi" w:cstheme="majorHAnsi"/>
        </w:rPr>
      </w:pPr>
      <w:r w:rsidRPr="00AD1496">
        <w:rPr>
          <w:rFonts w:asciiTheme="majorHAnsi" w:hAnsiTheme="majorHAnsi" w:cstheme="majorHAnsi"/>
        </w:rPr>
        <w:t>The total of actual payments made to date (</w:t>
      </w:r>
      <w:r w:rsidR="003D783E">
        <w:rPr>
          <w:rFonts w:asciiTheme="majorHAnsi" w:hAnsiTheme="majorHAnsi" w:cstheme="majorHAnsi"/>
        </w:rPr>
        <w:t>up to the 2017-18 assessment year</w:t>
      </w:r>
      <w:r w:rsidRPr="00AD1496">
        <w:rPr>
          <w:rFonts w:asciiTheme="majorHAnsi" w:hAnsiTheme="majorHAnsi" w:cstheme="majorHAnsi"/>
        </w:rPr>
        <w:t xml:space="preserve">) is $141,181,819. </w:t>
      </w:r>
      <w:r w:rsidR="00163FBD" w:rsidRPr="00AD1496">
        <w:rPr>
          <w:rFonts w:asciiTheme="majorHAnsi" w:hAnsiTheme="majorHAnsi" w:cstheme="majorHAnsi"/>
        </w:rPr>
        <w:t xml:space="preserve">If all States receive </w:t>
      </w:r>
      <w:r w:rsidR="00163FBD" w:rsidRPr="00AD1496">
        <w:rPr>
          <w:rFonts w:asciiTheme="majorHAnsi" w:hAnsiTheme="majorHAnsi" w:cstheme="majorHAnsi"/>
        </w:rPr>
        <w:lastRenderedPageBreak/>
        <w:t>payments</w:t>
      </w:r>
      <w:r w:rsidR="003D783E">
        <w:rPr>
          <w:rFonts w:asciiTheme="majorHAnsi" w:hAnsiTheme="majorHAnsi" w:cstheme="majorHAnsi"/>
        </w:rPr>
        <w:t xml:space="preserve"> for the 2018-19 assessment year</w:t>
      </w:r>
      <w:r w:rsidR="00163FBD" w:rsidRPr="00AD1496">
        <w:rPr>
          <w:rFonts w:asciiTheme="majorHAnsi" w:hAnsiTheme="majorHAnsi" w:cstheme="majorHAnsi"/>
        </w:rPr>
        <w:t xml:space="preserve">, the </w:t>
      </w:r>
      <w:r w:rsidRPr="00AD1496">
        <w:rPr>
          <w:rFonts w:asciiTheme="majorHAnsi" w:hAnsiTheme="majorHAnsi" w:cstheme="majorHAnsi"/>
        </w:rPr>
        <w:t xml:space="preserve">total </w:t>
      </w:r>
      <w:r w:rsidR="00163FBD" w:rsidRPr="00AD1496">
        <w:rPr>
          <w:rFonts w:asciiTheme="majorHAnsi" w:hAnsiTheme="majorHAnsi" w:cstheme="majorHAnsi"/>
        </w:rPr>
        <w:t xml:space="preserve">funding provided </w:t>
      </w:r>
      <w:r w:rsidR="003D783E">
        <w:rPr>
          <w:rFonts w:asciiTheme="majorHAnsi" w:hAnsiTheme="majorHAnsi" w:cstheme="majorHAnsi"/>
        </w:rPr>
        <w:t>for the entire NPA assessment period</w:t>
      </w:r>
      <w:r w:rsidRPr="00AD1496">
        <w:rPr>
          <w:rFonts w:asciiTheme="majorHAnsi" w:hAnsiTheme="majorHAnsi" w:cstheme="majorHAnsi"/>
        </w:rPr>
        <w:t xml:space="preserve"> </w:t>
      </w:r>
      <w:r w:rsidR="00163FBD" w:rsidRPr="00AD1496">
        <w:rPr>
          <w:rFonts w:asciiTheme="majorHAnsi" w:hAnsiTheme="majorHAnsi" w:cstheme="majorHAnsi"/>
        </w:rPr>
        <w:t xml:space="preserve">will be </w:t>
      </w:r>
      <w:r w:rsidRPr="00AD1496">
        <w:rPr>
          <w:rFonts w:asciiTheme="majorHAnsi" w:hAnsiTheme="majorHAnsi" w:cstheme="majorHAnsi"/>
        </w:rPr>
        <w:t>$</w:t>
      </w:r>
      <w:r w:rsidR="00553AEA" w:rsidRPr="00AD1496">
        <w:rPr>
          <w:rFonts w:asciiTheme="majorHAnsi" w:hAnsiTheme="majorHAnsi" w:cstheme="majorHAnsi"/>
        </w:rPr>
        <w:t>161,181,819</w:t>
      </w:r>
      <w:r w:rsidRPr="00AD1496">
        <w:rPr>
          <w:rFonts w:asciiTheme="majorHAnsi" w:hAnsiTheme="majorHAnsi" w:cstheme="majorHAnsi"/>
        </w:rPr>
        <w:t>.</w:t>
      </w:r>
      <w:r w:rsidR="00C634B4" w:rsidRPr="00AD1496">
        <w:rPr>
          <w:rStyle w:val="FootnoteReference"/>
          <w:rFonts w:asciiTheme="majorHAnsi" w:hAnsiTheme="majorHAnsi" w:cstheme="majorHAnsi"/>
        </w:rPr>
        <w:footnoteReference w:id="5"/>
      </w:r>
    </w:p>
    <w:p w14:paraId="315B6EF2" w14:textId="496E13AC" w:rsidR="00B83ABC" w:rsidRPr="00AD1496" w:rsidRDefault="00015AC6" w:rsidP="00015AC6">
      <w:pPr>
        <w:rPr>
          <w:rFonts w:asciiTheme="majorHAnsi" w:hAnsiTheme="majorHAnsi" w:cstheme="majorHAnsi"/>
        </w:rPr>
      </w:pPr>
      <w:r w:rsidRPr="00AD1496">
        <w:rPr>
          <w:rFonts w:asciiTheme="majorHAnsi" w:hAnsiTheme="majorHAnsi" w:cstheme="majorHAnsi"/>
        </w:rPr>
        <w:t xml:space="preserve">The results of all annual assessments, excluding the final assessment period, are summarised in </w:t>
      </w:r>
      <w:r w:rsidRPr="00AD1496">
        <w:rPr>
          <w:rFonts w:asciiTheme="majorHAnsi" w:hAnsiTheme="majorHAnsi" w:cstheme="majorHAnsi"/>
        </w:rPr>
        <w:fldChar w:fldCharType="begin"/>
      </w:r>
      <w:r w:rsidRPr="00AD1496">
        <w:rPr>
          <w:rFonts w:asciiTheme="majorHAnsi" w:hAnsiTheme="majorHAnsi" w:cstheme="majorHAnsi"/>
        </w:rPr>
        <w:instrText xml:space="preserve"> REF _Ref14081240 \w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Figure 2 below</w:t>
      </w:r>
      <w:r w:rsidRPr="00AD1496">
        <w:rPr>
          <w:rFonts w:asciiTheme="majorHAnsi" w:hAnsiTheme="majorHAnsi" w:cstheme="majorHAnsi"/>
        </w:rPr>
        <w:fldChar w:fldCharType="end"/>
      </w:r>
      <w:r w:rsidR="00B83ABC" w:rsidRPr="00AD1496">
        <w:rPr>
          <w:rFonts w:asciiTheme="majorHAnsi" w:hAnsiTheme="majorHAnsi" w:cstheme="majorHAnsi"/>
        </w:rPr>
        <w:t>.</w:t>
      </w:r>
      <w:r w:rsidR="00B83ABC" w:rsidRPr="00AD1496">
        <w:rPr>
          <w:rStyle w:val="FootnoteReference"/>
          <w:rFonts w:asciiTheme="majorHAnsi" w:hAnsiTheme="majorHAnsi" w:cstheme="majorHAnsi"/>
        </w:rPr>
        <w:footnoteReference w:id="6"/>
      </w:r>
    </w:p>
    <w:p w14:paraId="7F9C61BA" w14:textId="77777777" w:rsidR="001B17A3" w:rsidRPr="00AD1496" w:rsidRDefault="001B17A3" w:rsidP="001B17A3">
      <w:pPr>
        <w:pStyle w:val="FigureHeading"/>
        <w:rPr>
          <w:rFonts w:asciiTheme="majorHAnsi" w:hAnsiTheme="majorHAnsi" w:cstheme="majorHAnsi"/>
        </w:rPr>
      </w:pPr>
      <w:bookmarkStart w:id="37" w:name="_Ref14081240"/>
      <w:bookmarkStart w:id="38" w:name="_Toc14105550"/>
      <w:bookmarkStart w:id="39" w:name="_Ref17967690"/>
      <w:r w:rsidRPr="00AD1496">
        <w:rPr>
          <w:rFonts w:asciiTheme="majorHAnsi" w:hAnsiTheme="majorHAnsi" w:cstheme="majorHAnsi"/>
        </w:rPr>
        <w:lastRenderedPageBreak/>
        <w:t>Basin States achievement of milestones</w:t>
      </w:r>
      <w:bookmarkEnd w:id="37"/>
      <w:bookmarkEnd w:id="38"/>
      <w:bookmarkEnd w:id="39"/>
    </w:p>
    <w:p w14:paraId="2D5E2936" w14:textId="1DB4569B" w:rsidR="001B17A3" w:rsidRPr="00AD1496" w:rsidRDefault="00DF5B3C" w:rsidP="001B17A3">
      <w:pPr>
        <w:spacing w:after="0"/>
        <w:rPr>
          <w:rFonts w:asciiTheme="majorHAnsi" w:hAnsiTheme="majorHAnsi" w:cstheme="majorHAnsi"/>
        </w:rPr>
      </w:pPr>
      <w:r w:rsidRPr="00AD1496">
        <w:rPr>
          <w:rFonts w:asciiTheme="majorHAnsi" w:hAnsiTheme="majorHAnsi" w:cstheme="majorHAnsi"/>
          <w:noProof/>
          <w:lang w:eastAsia="en-AU"/>
        </w:rPr>
        <w:drawing>
          <wp:inline distT="0" distB="0" distL="0" distR="0" wp14:anchorId="2A6B31A1" wp14:editId="54F62101">
            <wp:extent cx="5759450" cy="492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921250"/>
                    </a:xfrm>
                    <a:prstGeom prst="rect">
                      <a:avLst/>
                    </a:prstGeom>
                  </pic:spPr>
                </pic:pic>
              </a:graphicData>
            </a:graphic>
          </wp:inline>
        </w:drawing>
      </w:r>
    </w:p>
    <w:p w14:paraId="4CB8F0EB" w14:textId="1B3AF296" w:rsidR="001B17A3" w:rsidRPr="00AD1496" w:rsidRDefault="001B17A3" w:rsidP="005E7C92">
      <w:pPr>
        <w:pStyle w:val="Notes"/>
        <w:rPr>
          <w:rFonts w:asciiTheme="majorHAnsi" w:hAnsiTheme="majorHAnsi" w:cstheme="majorHAnsi"/>
        </w:rPr>
      </w:pPr>
      <w:r w:rsidRPr="00AD1496">
        <w:rPr>
          <w:rFonts w:asciiTheme="majorHAnsi" w:hAnsiTheme="majorHAnsi" w:cstheme="majorHAnsi"/>
        </w:rPr>
        <w:t xml:space="preserve">Note: Green text indicates where a milestone has been fully met. Orange text indicates a milestone that has been partially met. Red text indicates a </w:t>
      </w:r>
      <w:r w:rsidRPr="00AD1496">
        <w:rPr>
          <w:rFonts w:asciiTheme="majorHAnsi" w:hAnsiTheme="majorHAnsi" w:cstheme="majorHAnsi"/>
        </w:rPr>
        <w:lastRenderedPageBreak/>
        <w:t>milestone that was not met. Grey strikethrough text indicates that milestone is not applicable.</w:t>
      </w:r>
      <w:r w:rsidR="005E7C92" w:rsidRPr="00AD1496">
        <w:rPr>
          <w:rFonts w:asciiTheme="majorHAnsi" w:hAnsiTheme="majorHAnsi" w:cstheme="majorHAnsi"/>
        </w:rPr>
        <w:t xml:space="preserve"> M</w:t>
      </w:r>
      <w:r w:rsidRPr="00AD1496">
        <w:rPr>
          <w:rFonts w:asciiTheme="majorHAnsi" w:hAnsiTheme="majorHAnsi" w:cstheme="majorHAnsi"/>
        </w:rPr>
        <w:t xml:space="preserve">ilestones 2 &amp; 6, 3 &amp; 7, 4 &amp; 8, 5 &amp; 9 </w:t>
      </w:r>
      <w:r w:rsidR="005E7C92" w:rsidRPr="00AD1496">
        <w:rPr>
          <w:rFonts w:asciiTheme="majorHAnsi" w:hAnsiTheme="majorHAnsi" w:cstheme="majorHAnsi"/>
        </w:rPr>
        <w:t xml:space="preserve">are </w:t>
      </w:r>
      <w:r w:rsidRPr="00AD1496">
        <w:rPr>
          <w:rFonts w:asciiTheme="majorHAnsi" w:hAnsiTheme="majorHAnsi" w:cstheme="majorHAnsi"/>
        </w:rPr>
        <w:t>largely equivalent</w:t>
      </w:r>
      <w:r w:rsidR="005E7C92" w:rsidRPr="00AD1496">
        <w:rPr>
          <w:rFonts w:asciiTheme="majorHAnsi" w:hAnsiTheme="majorHAnsi" w:cstheme="majorHAnsi"/>
        </w:rPr>
        <w:t xml:space="preserve"> and so this </w:t>
      </w:r>
      <w:r w:rsidRPr="00AD1496">
        <w:rPr>
          <w:rFonts w:asciiTheme="majorHAnsi" w:hAnsiTheme="majorHAnsi" w:cstheme="majorHAnsi"/>
        </w:rPr>
        <w:t>figure</w:t>
      </w:r>
      <w:r w:rsidR="005E7C92" w:rsidRPr="00AD1496">
        <w:rPr>
          <w:rFonts w:asciiTheme="majorHAnsi" w:hAnsiTheme="majorHAnsi" w:cstheme="majorHAnsi"/>
        </w:rPr>
        <w:t xml:space="preserve"> </w:t>
      </w:r>
      <w:r w:rsidRPr="00AD1496">
        <w:rPr>
          <w:rFonts w:asciiTheme="majorHAnsi" w:hAnsiTheme="majorHAnsi" w:cstheme="majorHAnsi"/>
        </w:rPr>
        <w:t>only refer</w:t>
      </w:r>
      <w:r w:rsidR="005E7C92" w:rsidRPr="00AD1496">
        <w:rPr>
          <w:rFonts w:asciiTheme="majorHAnsi" w:hAnsiTheme="majorHAnsi" w:cstheme="majorHAnsi"/>
        </w:rPr>
        <w:t>s</w:t>
      </w:r>
      <w:r w:rsidRPr="00AD1496">
        <w:rPr>
          <w:rFonts w:asciiTheme="majorHAnsi" w:hAnsiTheme="majorHAnsi" w:cstheme="majorHAnsi"/>
        </w:rPr>
        <w:t xml:space="preserve"> to milestone 6, 7, 8 and 9.</w:t>
      </w:r>
    </w:p>
    <w:p w14:paraId="69517F43" w14:textId="77777777" w:rsidR="005E7C92" w:rsidRPr="00AD1496" w:rsidRDefault="005E7C92" w:rsidP="005E7C92">
      <w:pPr>
        <w:pStyle w:val="Notes"/>
        <w:rPr>
          <w:rFonts w:asciiTheme="majorHAnsi" w:hAnsiTheme="majorHAnsi" w:cstheme="majorHAnsi"/>
        </w:rPr>
      </w:pPr>
    </w:p>
    <w:p w14:paraId="329F0982" w14:textId="77777777" w:rsidR="00A701E1" w:rsidRPr="00AD1496" w:rsidRDefault="00A701E1">
      <w:pPr>
        <w:spacing w:after="0" w:line="240" w:lineRule="auto"/>
        <w:rPr>
          <w:rFonts w:asciiTheme="majorHAnsi" w:hAnsiTheme="majorHAnsi" w:cstheme="majorHAnsi"/>
        </w:rPr>
      </w:pPr>
      <w:r w:rsidRPr="00AD1496">
        <w:rPr>
          <w:rFonts w:asciiTheme="majorHAnsi" w:hAnsiTheme="majorHAnsi" w:cstheme="majorHAnsi"/>
        </w:rPr>
        <w:br w:type="page"/>
      </w:r>
    </w:p>
    <w:p w14:paraId="71A925E4" w14:textId="036EA38C" w:rsidR="00181531" w:rsidRPr="00AD1496" w:rsidRDefault="00181531" w:rsidP="003B38CB">
      <w:pPr>
        <w:rPr>
          <w:rFonts w:asciiTheme="majorHAnsi" w:hAnsiTheme="majorHAnsi" w:cstheme="majorHAnsi"/>
        </w:rPr>
      </w:pPr>
      <w:r w:rsidRPr="00AD1496">
        <w:rPr>
          <w:rFonts w:asciiTheme="majorHAnsi" w:hAnsiTheme="majorHAnsi" w:cstheme="majorHAnsi"/>
        </w:rPr>
        <w:lastRenderedPageBreak/>
        <w:t xml:space="preserve">To date, all payments </w:t>
      </w:r>
      <w:r w:rsidR="003A48C8" w:rsidRPr="00AD1496">
        <w:rPr>
          <w:rFonts w:asciiTheme="majorHAnsi" w:hAnsiTheme="majorHAnsi" w:cstheme="majorHAnsi"/>
        </w:rPr>
        <w:t xml:space="preserve">in relation to performance against milestones </w:t>
      </w:r>
      <w:r w:rsidRPr="00AD1496">
        <w:rPr>
          <w:rFonts w:asciiTheme="majorHAnsi" w:hAnsiTheme="majorHAnsi" w:cstheme="majorHAnsi"/>
        </w:rPr>
        <w:t xml:space="preserve">have been made to </w:t>
      </w:r>
      <w:r w:rsidR="00092E62" w:rsidRPr="00AD1496">
        <w:rPr>
          <w:rFonts w:asciiTheme="majorHAnsi" w:hAnsiTheme="majorHAnsi" w:cstheme="majorHAnsi"/>
        </w:rPr>
        <w:t xml:space="preserve">the </w:t>
      </w:r>
      <w:r w:rsidRPr="00AD1496">
        <w:rPr>
          <w:rFonts w:asciiTheme="majorHAnsi" w:hAnsiTheme="majorHAnsi" w:cstheme="majorHAnsi"/>
        </w:rPr>
        <w:t xml:space="preserve">States except payment to NSW in 2016-17. </w:t>
      </w:r>
      <w:r w:rsidR="0049237F">
        <w:rPr>
          <w:rFonts w:asciiTheme="majorHAnsi" w:hAnsiTheme="majorHAnsi" w:cstheme="majorHAnsi"/>
        </w:rPr>
        <w:t>For that</w:t>
      </w:r>
      <w:r w:rsidR="0049237F" w:rsidRPr="00AD1496">
        <w:rPr>
          <w:rFonts w:asciiTheme="majorHAnsi" w:hAnsiTheme="majorHAnsi" w:cstheme="majorHAnsi"/>
        </w:rPr>
        <w:t xml:space="preserve"> assessment, NSW only partially met milestones 6 and 7, and failed to meet milestone 8</w:t>
      </w:r>
      <w:r w:rsidR="006E1FFB">
        <w:rPr>
          <w:rFonts w:asciiTheme="majorHAnsi" w:hAnsiTheme="majorHAnsi" w:cstheme="majorHAnsi"/>
        </w:rPr>
        <w:t>, resulting</w:t>
      </w:r>
      <w:r w:rsidR="0049237F" w:rsidRPr="00AD1496">
        <w:rPr>
          <w:rFonts w:asciiTheme="majorHAnsi" w:hAnsiTheme="majorHAnsi" w:cstheme="majorHAnsi"/>
        </w:rPr>
        <w:t xml:space="preserve"> in a non-payment for that year. </w:t>
      </w:r>
      <w:r w:rsidRPr="00AD1496">
        <w:rPr>
          <w:rFonts w:asciiTheme="majorHAnsi" w:hAnsiTheme="majorHAnsi" w:cstheme="majorHAnsi"/>
        </w:rPr>
        <w:t xml:space="preserve">States who partially met milestones were paid in all cases, as their progress was deemed to be substantial and </w:t>
      </w:r>
      <w:r w:rsidR="00DC69DE" w:rsidRPr="00AD1496">
        <w:rPr>
          <w:rFonts w:asciiTheme="majorHAnsi" w:hAnsiTheme="majorHAnsi" w:cstheme="majorHAnsi"/>
        </w:rPr>
        <w:t xml:space="preserve">measures were deemed to be in place to meet the milestones in future, therefore </w:t>
      </w:r>
      <w:r w:rsidRPr="00AD1496">
        <w:rPr>
          <w:rFonts w:asciiTheme="majorHAnsi" w:hAnsiTheme="majorHAnsi" w:cstheme="majorHAnsi"/>
        </w:rPr>
        <w:t>not warrant</w:t>
      </w:r>
      <w:r w:rsidR="00DC69DE" w:rsidRPr="00AD1496">
        <w:rPr>
          <w:rFonts w:asciiTheme="majorHAnsi" w:hAnsiTheme="majorHAnsi" w:cstheme="majorHAnsi"/>
        </w:rPr>
        <w:t>ing</w:t>
      </w:r>
      <w:r w:rsidRPr="00AD1496">
        <w:rPr>
          <w:rFonts w:asciiTheme="majorHAnsi" w:hAnsiTheme="majorHAnsi" w:cstheme="majorHAnsi"/>
        </w:rPr>
        <w:t xml:space="preserve"> payment being withheld. As discussed later, there is no provision for partial payments in the NPA.</w:t>
      </w:r>
    </w:p>
    <w:p w14:paraId="11FF9C40" w14:textId="77777777" w:rsidR="009D23D5" w:rsidRPr="00AD1496" w:rsidRDefault="009D23D5" w:rsidP="009D23D5">
      <w:pPr>
        <w:pStyle w:val="Heading3"/>
        <w:rPr>
          <w:rFonts w:asciiTheme="majorHAnsi" w:hAnsiTheme="majorHAnsi" w:cstheme="majorHAnsi"/>
        </w:rPr>
      </w:pPr>
      <w:r w:rsidRPr="00AD1496">
        <w:rPr>
          <w:rFonts w:asciiTheme="majorHAnsi" w:hAnsiTheme="majorHAnsi" w:cstheme="majorHAnsi"/>
        </w:rPr>
        <w:t>Milestones which were not consistently met</w:t>
      </w:r>
    </w:p>
    <w:p w14:paraId="161A0929" w14:textId="4AB47F93" w:rsidR="009D23D5" w:rsidRPr="00AD1496" w:rsidRDefault="009D23D5" w:rsidP="009D23D5">
      <w:pPr>
        <w:rPr>
          <w:rFonts w:asciiTheme="majorHAnsi" w:hAnsiTheme="majorHAnsi" w:cstheme="majorHAnsi"/>
        </w:rPr>
      </w:pPr>
      <w:r w:rsidRPr="00AD1496">
        <w:rPr>
          <w:rFonts w:asciiTheme="majorHAnsi" w:hAnsiTheme="majorHAnsi" w:cstheme="majorHAnsi"/>
        </w:rPr>
        <w:t xml:space="preserve">The achievement of milestones about supporting the Commonwealth in Bridging the Gap, following the Constraints Management Strategy and cooperating in arrangements for Basin Plan environmental watering were not consistently met (milestone 6, 7 &amp; 8, see </w:t>
      </w:r>
      <w:r w:rsidRPr="00AD1496">
        <w:rPr>
          <w:rFonts w:asciiTheme="majorHAnsi" w:hAnsiTheme="majorHAnsi" w:cstheme="majorHAnsi"/>
        </w:rPr>
        <w:fldChar w:fldCharType="begin"/>
      </w:r>
      <w:r w:rsidRPr="00AD1496">
        <w:rPr>
          <w:rFonts w:asciiTheme="majorHAnsi" w:hAnsiTheme="majorHAnsi" w:cstheme="majorHAnsi"/>
        </w:rPr>
        <w:instrText xml:space="preserve"> REF _Ref16601932 \r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Appendix 5</w:t>
      </w:r>
      <w:r w:rsidRPr="00AD1496">
        <w:rPr>
          <w:rFonts w:asciiTheme="majorHAnsi" w:hAnsiTheme="majorHAnsi" w:cstheme="majorHAnsi"/>
        </w:rPr>
        <w:fldChar w:fldCharType="end"/>
      </w:r>
      <w:r w:rsidR="002E6465" w:rsidRPr="00AD1496">
        <w:rPr>
          <w:rFonts w:asciiTheme="majorHAnsi" w:hAnsiTheme="majorHAnsi" w:cstheme="majorHAnsi"/>
        </w:rPr>
        <w:t xml:space="preserve"> for full list of mile</w:t>
      </w:r>
      <w:r w:rsidR="002E6465" w:rsidRPr="00AD1496">
        <w:rPr>
          <w:rFonts w:asciiTheme="majorHAnsi" w:hAnsiTheme="majorHAnsi" w:cstheme="majorHAnsi"/>
        </w:rPr>
        <w:lastRenderedPageBreak/>
        <w:t>stones</w:t>
      </w:r>
      <w:r w:rsidRPr="00AD1496">
        <w:rPr>
          <w:rFonts w:asciiTheme="majorHAnsi" w:hAnsiTheme="majorHAnsi" w:cstheme="majorHAnsi"/>
        </w:rPr>
        <w:t xml:space="preserve">). As shown in </w:t>
      </w:r>
      <w:r w:rsidR="00C72BB9" w:rsidRPr="00AD1496">
        <w:rPr>
          <w:rFonts w:asciiTheme="majorHAnsi" w:hAnsiTheme="majorHAnsi" w:cstheme="majorHAnsi"/>
        </w:rPr>
        <w:fldChar w:fldCharType="begin"/>
      </w:r>
      <w:r w:rsidR="00C72BB9" w:rsidRPr="00AD1496">
        <w:rPr>
          <w:rFonts w:asciiTheme="majorHAnsi" w:hAnsiTheme="majorHAnsi" w:cstheme="majorHAnsi"/>
        </w:rPr>
        <w:instrText xml:space="preserve"> REF _Ref17967690 \r \p \h </w:instrText>
      </w:r>
      <w:r w:rsidR="00AD1496">
        <w:rPr>
          <w:rFonts w:asciiTheme="majorHAnsi" w:hAnsiTheme="majorHAnsi" w:cstheme="majorHAnsi"/>
        </w:rPr>
        <w:instrText xml:space="preserve"> \* MERGEFORMAT </w:instrText>
      </w:r>
      <w:r w:rsidR="00C72BB9" w:rsidRPr="00AD1496">
        <w:rPr>
          <w:rFonts w:asciiTheme="majorHAnsi" w:hAnsiTheme="majorHAnsi" w:cstheme="majorHAnsi"/>
        </w:rPr>
      </w:r>
      <w:r w:rsidR="00C72BB9" w:rsidRPr="00AD1496">
        <w:rPr>
          <w:rFonts w:asciiTheme="majorHAnsi" w:hAnsiTheme="majorHAnsi" w:cstheme="majorHAnsi"/>
        </w:rPr>
        <w:fldChar w:fldCharType="separate"/>
      </w:r>
      <w:r w:rsidR="00DF313B">
        <w:rPr>
          <w:rFonts w:asciiTheme="majorHAnsi" w:hAnsiTheme="majorHAnsi" w:cstheme="majorHAnsi"/>
        </w:rPr>
        <w:t>Figure 2 above</w:t>
      </w:r>
      <w:r w:rsidR="00C72BB9" w:rsidRPr="00AD1496">
        <w:rPr>
          <w:rFonts w:asciiTheme="majorHAnsi" w:hAnsiTheme="majorHAnsi" w:cstheme="majorHAnsi"/>
        </w:rPr>
        <w:fldChar w:fldCharType="end"/>
      </w:r>
      <w:r w:rsidRPr="00AD1496">
        <w:rPr>
          <w:rFonts w:asciiTheme="majorHAnsi" w:hAnsiTheme="majorHAnsi" w:cstheme="majorHAnsi"/>
        </w:rPr>
        <w:t>, milestone 6 which relates to the state supporting the Commonwealth in Bridging the Gap was rarely fully met by States except South Australia—the only State which met all milestones across all years.</w:t>
      </w:r>
    </w:p>
    <w:p w14:paraId="7FDE2F6D" w14:textId="3D36CD8E" w:rsidR="009D23D5" w:rsidRPr="00AD1496" w:rsidRDefault="009D23D5" w:rsidP="009D23D5">
      <w:pPr>
        <w:rPr>
          <w:rFonts w:asciiTheme="majorHAnsi" w:hAnsiTheme="majorHAnsi" w:cstheme="majorHAnsi"/>
        </w:rPr>
      </w:pPr>
      <w:r w:rsidRPr="00AD1496">
        <w:rPr>
          <w:rFonts w:asciiTheme="majorHAnsi" w:hAnsiTheme="majorHAnsi" w:cstheme="majorHAnsi"/>
        </w:rPr>
        <w:t>Milestone 6a was raised as a concern by the Department</w:t>
      </w:r>
      <w:r w:rsidR="006359D9" w:rsidRPr="00AD1496">
        <w:rPr>
          <w:rFonts w:asciiTheme="majorHAnsi" w:hAnsiTheme="majorHAnsi" w:cstheme="majorHAnsi"/>
        </w:rPr>
        <w:t xml:space="preserve"> (with advice from the CEWO and MDBA)</w:t>
      </w:r>
      <w:r w:rsidRPr="00AD1496">
        <w:rPr>
          <w:rFonts w:asciiTheme="majorHAnsi" w:hAnsiTheme="majorHAnsi" w:cstheme="majorHAnsi"/>
        </w:rPr>
        <w:t xml:space="preserve"> for multiple States throughout the </w:t>
      </w:r>
      <w:r w:rsidR="006359D9" w:rsidRPr="00AD1496">
        <w:rPr>
          <w:rFonts w:asciiTheme="majorHAnsi" w:hAnsiTheme="majorHAnsi" w:cstheme="majorHAnsi"/>
        </w:rPr>
        <w:t xml:space="preserve">assessment term of the </w:t>
      </w:r>
      <w:r w:rsidRPr="00AD1496">
        <w:rPr>
          <w:rFonts w:asciiTheme="majorHAnsi" w:hAnsiTheme="majorHAnsi" w:cstheme="majorHAnsi"/>
        </w:rPr>
        <w:t xml:space="preserve">NPA. Reasons for non-compliance included </w:t>
      </w:r>
      <w:r w:rsidR="00B11749" w:rsidRPr="00AD1496">
        <w:rPr>
          <w:rFonts w:asciiTheme="majorHAnsi" w:hAnsiTheme="majorHAnsi" w:cstheme="majorHAnsi"/>
        </w:rPr>
        <w:t xml:space="preserve">lack of </w:t>
      </w:r>
      <w:r w:rsidRPr="00AD1496">
        <w:rPr>
          <w:rFonts w:asciiTheme="majorHAnsi" w:hAnsiTheme="majorHAnsi" w:cstheme="majorHAnsi"/>
        </w:rPr>
        <w:t>interstate trade, inter-valley trade limits, intrastate tagging arrangements, trade of water access entitlements with conjunctive storage conditions</w:t>
      </w:r>
      <w:r w:rsidR="00B11749" w:rsidRPr="00AD1496">
        <w:rPr>
          <w:rFonts w:asciiTheme="majorHAnsi" w:hAnsiTheme="majorHAnsi" w:cstheme="majorHAnsi"/>
        </w:rPr>
        <w:t xml:space="preserve"> and relocatable licences</w:t>
      </w:r>
      <w:r w:rsidRPr="00AD1496">
        <w:rPr>
          <w:rFonts w:asciiTheme="majorHAnsi" w:hAnsiTheme="majorHAnsi" w:cstheme="majorHAnsi"/>
        </w:rPr>
        <w:t xml:space="preserve">, </w:t>
      </w:r>
      <w:r w:rsidR="00B11749" w:rsidRPr="00AD1496">
        <w:rPr>
          <w:rFonts w:asciiTheme="majorHAnsi" w:hAnsiTheme="majorHAnsi" w:cstheme="majorHAnsi"/>
        </w:rPr>
        <w:t xml:space="preserve">which were considered to be </w:t>
      </w:r>
      <w:r w:rsidRPr="00AD1496">
        <w:rPr>
          <w:rFonts w:asciiTheme="majorHAnsi" w:hAnsiTheme="majorHAnsi" w:cstheme="majorHAnsi"/>
        </w:rPr>
        <w:t>inconsisten</w:t>
      </w:r>
      <w:r w:rsidR="00B11749" w:rsidRPr="00AD1496">
        <w:rPr>
          <w:rFonts w:asciiTheme="majorHAnsi" w:hAnsiTheme="majorHAnsi" w:cstheme="majorHAnsi"/>
        </w:rPr>
        <w:t>t</w:t>
      </w:r>
      <w:r w:rsidRPr="00AD1496">
        <w:rPr>
          <w:rFonts w:asciiTheme="majorHAnsi" w:hAnsiTheme="majorHAnsi" w:cstheme="majorHAnsi"/>
        </w:rPr>
        <w:t xml:space="preserve"> with the Basin Plan water trading rules</w:t>
      </w:r>
      <w:r w:rsidR="00B11749" w:rsidRPr="00AD1496">
        <w:rPr>
          <w:rFonts w:asciiTheme="majorHAnsi" w:hAnsiTheme="majorHAnsi" w:cstheme="majorHAnsi"/>
        </w:rPr>
        <w:t>.</w:t>
      </w:r>
      <w:r w:rsidRPr="00AD1496">
        <w:rPr>
          <w:rFonts w:asciiTheme="majorHAnsi" w:hAnsiTheme="majorHAnsi" w:cstheme="majorHAnsi"/>
        </w:rPr>
        <w:t xml:space="preserve"> </w:t>
      </w:r>
      <w:r w:rsidR="00344D39" w:rsidRPr="00AD1496">
        <w:rPr>
          <w:rFonts w:asciiTheme="majorHAnsi" w:hAnsiTheme="majorHAnsi" w:cstheme="majorHAnsi"/>
        </w:rPr>
        <w:t>T</w:t>
      </w:r>
      <w:r w:rsidR="00B11749" w:rsidRPr="00AD1496">
        <w:rPr>
          <w:rFonts w:asciiTheme="majorHAnsi" w:hAnsiTheme="majorHAnsi" w:cstheme="majorHAnsi"/>
        </w:rPr>
        <w:t xml:space="preserve">he MDBA advised </w:t>
      </w:r>
      <w:r w:rsidRPr="00AD1496">
        <w:rPr>
          <w:rFonts w:asciiTheme="majorHAnsi" w:hAnsiTheme="majorHAnsi" w:cstheme="majorHAnsi"/>
        </w:rPr>
        <w:t xml:space="preserve">all Basin States of their immediate priority areas of inconsistency with the Basin Plan water trading rules (BPWTR) in December 2014, and then again in 25 June 2015. </w:t>
      </w:r>
      <w:r w:rsidR="00B11749" w:rsidRPr="00AD1496">
        <w:rPr>
          <w:rFonts w:asciiTheme="majorHAnsi" w:hAnsiTheme="majorHAnsi" w:cstheme="majorHAnsi"/>
        </w:rPr>
        <w:t>Some of t</w:t>
      </w:r>
      <w:r w:rsidRPr="00AD1496">
        <w:rPr>
          <w:rFonts w:asciiTheme="majorHAnsi" w:hAnsiTheme="majorHAnsi" w:cstheme="majorHAnsi"/>
        </w:rPr>
        <w:t>hese discussions continued into 2015</w:t>
      </w:r>
      <w:r w:rsidR="00092E62" w:rsidRPr="00AD1496">
        <w:rPr>
          <w:rFonts w:asciiTheme="majorHAnsi" w:hAnsiTheme="majorHAnsi" w:cstheme="majorHAnsi"/>
        </w:rPr>
        <w:t>-</w:t>
      </w:r>
      <w:r w:rsidRPr="00AD1496">
        <w:rPr>
          <w:rFonts w:asciiTheme="majorHAnsi" w:hAnsiTheme="majorHAnsi" w:cstheme="majorHAnsi"/>
        </w:rPr>
        <w:t>16 and resulted in consistent partial achievement of the milestone.</w:t>
      </w:r>
    </w:p>
    <w:p w14:paraId="09CE5805" w14:textId="52BF470D" w:rsidR="009D23D5" w:rsidRPr="00AD1496" w:rsidRDefault="00092E62" w:rsidP="009D23D5">
      <w:pPr>
        <w:rPr>
          <w:rFonts w:asciiTheme="majorHAnsi" w:hAnsiTheme="majorHAnsi" w:cstheme="majorHAnsi"/>
        </w:rPr>
      </w:pPr>
      <w:r w:rsidRPr="00AD1496">
        <w:rPr>
          <w:rFonts w:asciiTheme="majorHAnsi" w:hAnsiTheme="majorHAnsi" w:cstheme="majorHAnsi"/>
        </w:rPr>
        <w:lastRenderedPageBreak/>
        <w:t xml:space="preserve">New South Wales </w:t>
      </w:r>
      <w:r w:rsidR="009D23D5" w:rsidRPr="00AD1496">
        <w:rPr>
          <w:rFonts w:asciiTheme="majorHAnsi" w:hAnsiTheme="majorHAnsi" w:cstheme="majorHAnsi"/>
        </w:rPr>
        <w:t xml:space="preserve">did not fully meet milestone 7 after 2014-15. </w:t>
      </w:r>
      <w:r w:rsidRPr="00AD1496">
        <w:rPr>
          <w:rFonts w:asciiTheme="majorHAnsi" w:hAnsiTheme="majorHAnsi" w:cstheme="majorHAnsi"/>
        </w:rPr>
        <w:t xml:space="preserve">The </w:t>
      </w:r>
      <w:r w:rsidR="009D23D5" w:rsidRPr="00AD1496">
        <w:rPr>
          <w:rFonts w:asciiTheme="majorHAnsi" w:hAnsiTheme="majorHAnsi" w:cstheme="majorHAnsi"/>
        </w:rPr>
        <w:t xml:space="preserve">MDBA commented that NSW was behind the IGA schedule and was working collaboratively with Vic and SA to progress the Constraints Measurement Strategy through developing business cases for a number of constraints measures. In 2017-18, </w:t>
      </w:r>
      <w:r w:rsidRPr="00AD1496">
        <w:rPr>
          <w:rFonts w:asciiTheme="majorHAnsi" w:hAnsiTheme="majorHAnsi" w:cstheme="majorHAnsi"/>
        </w:rPr>
        <w:t xml:space="preserve">the </w:t>
      </w:r>
      <w:r w:rsidR="009D23D5" w:rsidRPr="00AD1496">
        <w:rPr>
          <w:rFonts w:asciiTheme="majorHAnsi" w:hAnsiTheme="majorHAnsi" w:cstheme="majorHAnsi"/>
        </w:rPr>
        <w:t xml:space="preserve">CEWO’s comments were similar to those of </w:t>
      </w:r>
      <w:r w:rsidR="00207A13" w:rsidRPr="00AD1496">
        <w:rPr>
          <w:rFonts w:asciiTheme="majorHAnsi" w:hAnsiTheme="majorHAnsi" w:cstheme="majorHAnsi"/>
        </w:rPr>
        <w:t xml:space="preserve">the </w:t>
      </w:r>
      <w:r w:rsidR="009D23D5" w:rsidRPr="00AD1496">
        <w:rPr>
          <w:rFonts w:asciiTheme="majorHAnsi" w:hAnsiTheme="majorHAnsi" w:cstheme="majorHAnsi"/>
        </w:rPr>
        <w:t xml:space="preserve">MDBA in the previous financial years, with </w:t>
      </w:r>
      <w:r w:rsidRPr="00AD1496">
        <w:rPr>
          <w:rFonts w:asciiTheme="majorHAnsi" w:hAnsiTheme="majorHAnsi" w:cstheme="majorHAnsi"/>
        </w:rPr>
        <w:t xml:space="preserve">the </w:t>
      </w:r>
      <w:r w:rsidR="009D23D5" w:rsidRPr="00AD1496">
        <w:rPr>
          <w:rFonts w:asciiTheme="majorHAnsi" w:hAnsiTheme="majorHAnsi" w:cstheme="majorHAnsi"/>
        </w:rPr>
        <w:t>CEWO noting that progress was slow; most projects were in pre-feasibility mode. This slow progress meant that limited action was able to be taken to remove or address constraints in align with the MDBA Constraints Management Strategy. NSW received its 2017-18 milestone payment.</w:t>
      </w:r>
    </w:p>
    <w:p w14:paraId="7D58FF4C" w14:textId="1866F42C" w:rsidR="009D23D5" w:rsidRPr="00AD1496" w:rsidRDefault="009D23D5" w:rsidP="00EB6425">
      <w:pPr>
        <w:pStyle w:val="ListBullet"/>
        <w:numPr>
          <w:ilvl w:val="0"/>
          <w:numId w:val="0"/>
        </w:numPr>
        <w:rPr>
          <w:rFonts w:asciiTheme="majorHAnsi" w:hAnsiTheme="majorHAnsi" w:cstheme="majorHAnsi"/>
        </w:rPr>
      </w:pPr>
      <w:r w:rsidRPr="00AD1496">
        <w:rPr>
          <w:rFonts w:asciiTheme="majorHAnsi" w:hAnsiTheme="majorHAnsi" w:cstheme="majorHAnsi"/>
        </w:rPr>
        <w:t xml:space="preserve">In recent years, </w:t>
      </w:r>
      <w:r w:rsidR="00E9585F" w:rsidRPr="00AD1496">
        <w:rPr>
          <w:rFonts w:asciiTheme="majorHAnsi" w:hAnsiTheme="majorHAnsi" w:cstheme="majorHAnsi"/>
        </w:rPr>
        <w:t xml:space="preserve">the </w:t>
      </w:r>
      <w:r w:rsidRPr="00AD1496">
        <w:rPr>
          <w:rFonts w:asciiTheme="majorHAnsi" w:hAnsiTheme="majorHAnsi" w:cstheme="majorHAnsi"/>
        </w:rPr>
        <w:t>CEWO</w:t>
      </w:r>
      <w:r w:rsidR="00344D39" w:rsidRPr="00AD1496">
        <w:rPr>
          <w:rFonts w:asciiTheme="majorHAnsi" w:hAnsiTheme="majorHAnsi" w:cstheme="majorHAnsi"/>
        </w:rPr>
        <w:t xml:space="preserve"> and the </w:t>
      </w:r>
      <w:r w:rsidRPr="00AD1496">
        <w:rPr>
          <w:rFonts w:asciiTheme="majorHAnsi" w:hAnsiTheme="majorHAnsi" w:cstheme="majorHAnsi"/>
        </w:rPr>
        <w:t xml:space="preserve">MDBA discussed States’ achievement of milestone 8 (see </w:t>
      </w:r>
      <w:r w:rsidRPr="00AD1496">
        <w:rPr>
          <w:rFonts w:asciiTheme="majorHAnsi" w:hAnsiTheme="majorHAnsi" w:cstheme="majorHAnsi"/>
        </w:rPr>
        <w:fldChar w:fldCharType="begin"/>
      </w:r>
      <w:r w:rsidRPr="00AD1496">
        <w:rPr>
          <w:rFonts w:asciiTheme="majorHAnsi" w:hAnsiTheme="majorHAnsi" w:cstheme="majorHAnsi"/>
        </w:rPr>
        <w:instrText xml:space="preserve"> REF _Ref16601932 \r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Appendix 5</w:t>
      </w:r>
      <w:r w:rsidRPr="00AD1496">
        <w:rPr>
          <w:rFonts w:asciiTheme="majorHAnsi" w:hAnsiTheme="majorHAnsi" w:cstheme="majorHAnsi"/>
        </w:rPr>
        <w:fldChar w:fldCharType="end"/>
      </w:r>
      <w:r w:rsidRPr="00AD1496">
        <w:rPr>
          <w:rFonts w:asciiTheme="majorHAnsi" w:hAnsiTheme="majorHAnsi" w:cstheme="majorHAnsi"/>
        </w:rPr>
        <w:t xml:space="preserve">) in their advice </w:t>
      </w:r>
      <w:r w:rsidR="00B11749" w:rsidRPr="00AD1496">
        <w:rPr>
          <w:rFonts w:asciiTheme="majorHAnsi" w:hAnsiTheme="majorHAnsi" w:cstheme="majorHAnsi"/>
        </w:rPr>
        <w:t xml:space="preserve">to the Department </w:t>
      </w:r>
      <w:r w:rsidRPr="00AD1496">
        <w:rPr>
          <w:rFonts w:asciiTheme="majorHAnsi" w:hAnsiTheme="majorHAnsi" w:cstheme="majorHAnsi"/>
        </w:rPr>
        <w:t xml:space="preserve">and </w:t>
      </w:r>
      <w:r w:rsidR="00B11749" w:rsidRPr="00AD1496">
        <w:rPr>
          <w:rFonts w:asciiTheme="majorHAnsi" w:hAnsiTheme="majorHAnsi" w:cstheme="majorHAnsi"/>
        </w:rPr>
        <w:t xml:space="preserve">these issues were reflected in the Department’s </w:t>
      </w:r>
      <w:r w:rsidRPr="00AD1496">
        <w:rPr>
          <w:rFonts w:asciiTheme="majorHAnsi" w:hAnsiTheme="majorHAnsi" w:cstheme="majorHAnsi"/>
        </w:rPr>
        <w:t xml:space="preserve">annual assessments. In 2015-16, all States fully met the milestone but all </w:t>
      </w:r>
      <w:r w:rsidR="00E9585F" w:rsidRPr="00AD1496">
        <w:rPr>
          <w:rFonts w:asciiTheme="majorHAnsi" w:hAnsiTheme="majorHAnsi" w:cstheme="majorHAnsi"/>
        </w:rPr>
        <w:t xml:space="preserve">States </w:t>
      </w:r>
      <w:r w:rsidRPr="00AD1496">
        <w:rPr>
          <w:rFonts w:asciiTheme="majorHAnsi" w:hAnsiTheme="majorHAnsi" w:cstheme="majorHAnsi"/>
        </w:rPr>
        <w:t xml:space="preserve">apart from Queensland had issues </w:t>
      </w:r>
      <w:r w:rsidR="006359D9" w:rsidRPr="00AD1496">
        <w:rPr>
          <w:rFonts w:asciiTheme="majorHAnsi" w:hAnsiTheme="majorHAnsi" w:cstheme="majorHAnsi"/>
        </w:rPr>
        <w:t xml:space="preserve">raised </w:t>
      </w:r>
      <w:r w:rsidRPr="00AD1496">
        <w:rPr>
          <w:rFonts w:asciiTheme="majorHAnsi" w:hAnsiTheme="majorHAnsi" w:cstheme="majorHAnsi"/>
        </w:rPr>
        <w:t xml:space="preserve">by either </w:t>
      </w:r>
      <w:r w:rsidR="006359D9" w:rsidRPr="00AD1496">
        <w:rPr>
          <w:rFonts w:asciiTheme="majorHAnsi" w:hAnsiTheme="majorHAnsi" w:cstheme="majorHAnsi"/>
        </w:rPr>
        <w:t xml:space="preserve">the </w:t>
      </w:r>
      <w:r w:rsidRPr="00AD1496">
        <w:rPr>
          <w:rFonts w:asciiTheme="majorHAnsi" w:hAnsiTheme="majorHAnsi" w:cstheme="majorHAnsi"/>
        </w:rPr>
        <w:t xml:space="preserve">MDBA or </w:t>
      </w:r>
      <w:r w:rsidR="00E9585F" w:rsidRPr="00AD1496">
        <w:rPr>
          <w:rFonts w:asciiTheme="majorHAnsi" w:hAnsiTheme="majorHAnsi" w:cstheme="majorHAnsi"/>
        </w:rPr>
        <w:t xml:space="preserve">the </w:t>
      </w:r>
      <w:r w:rsidRPr="00AD1496">
        <w:rPr>
          <w:rFonts w:asciiTheme="majorHAnsi" w:hAnsiTheme="majorHAnsi" w:cstheme="majorHAnsi"/>
        </w:rPr>
        <w:t xml:space="preserve">CEWO. </w:t>
      </w:r>
    </w:p>
    <w:p w14:paraId="0EAA3AF9" w14:textId="77777777" w:rsidR="0059633B" w:rsidRPr="00AD1496" w:rsidRDefault="0059633B" w:rsidP="0059633B">
      <w:pPr>
        <w:pStyle w:val="Heading3"/>
        <w:rPr>
          <w:rFonts w:asciiTheme="majorHAnsi" w:hAnsiTheme="majorHAnsi" w:cstheme="majorHAnsi"/>
        </w:rPr>
      </w:pPr>
      <w:r w:rsidRPr="00AD1496">
        <w:rPr>
          <w:rFonts w:asciiTheme="majorHAnsi" w:hAnsiTheme="majorHAnsi" w:cstheme="majorHAnsi"/>
        </w:rPr>
        <w:lastRenderedPageBreak/>
        <w:t>Take up of MDBA and CEWO advice by the Department</w:t>
      </w:r>
    </w:p>
    <w:p w14:paraId="33A5085F" w14:textId="51E14AD2" w:rsidR="0059633B" w:rsidRPr="00AD1496" w:rsidRDefault="0059633B" w:rsidP="0059633B">
      <w:pPr>
        <w:rPr>
          <w:rFonts w:asciiTheme="majorHAnsi" w:hAnsiTheme="majorHAnsi" w:cstheme="majorHAnsi"/>
        </w:rPr>
      </w:pPr>
      <w:r w:rsidRPr="00AD1496">
        <w:rPr>
          <w:rFonts w:asciiTheme="majorHAnsi" w:hAnsiTheme="majorHAnsi" w:cstheme="majorHAnsi"/>
        </w:rPr>
        <w:t xml:space="preserve">The assessment process </w:t>
      </w:r>
      <w:r w:rsidR="001E4B3E" w:rsidRPr="00AD1496">
        <w:rPr>
          <w:rFonts w:asciiTheme="majorHAnsi" w:hAnsiTheme="majorHAnsi" w:cstheme="majorHAnsi"/>
        </w:rPr>
        <w:t xml:space="preserve">includes </w:t>
      </w:r>
      <w:r w:rsidRPr="00AD1496">
        <w:rPr>
          <w:rFonts w:asciiTheme="majorHAnsi" w:hAnsiTheme="majorHAnsi" w:cstheme="majorHAnsi"/>
        </w:rPr>
        <w:t xml:space="preserve">advice </w:t>
      </w:r>
      <w:r w:rsidR="001E4B3E" w:rsidRPr="00AD1496">
        <w:rPr>
          <w:rFonts w:asciiTheme="majorHAnsi" w:hAnsiTheme="majorHAnsi" w:cstheme="majorHAnsi"/>
        </w:rPr>
        <w:t xml:space="preserve">provided by the </w:t>
      </w:r>
      <w:r w:rsidRPr="00AD1496">
        <w:rPr>
          <w:rFonts w:asciiTheme="majorHAnsi" w:hAnsiTheme="majorHAnsi" w:cstheme="majorHAnsi"/>
        </w:rPr>
        <w:t xml:space="preserve">CEWO and MDBA to the Department on the States’ progress against the NPA milestones. The Department was consistent in taking up this advice, which was consistently included in annual assessments. All compliance issues that were flagged by </w:t>
      </w:r>
      <w:r w:rsidR="001E4B3E" w:rsidRPr="00AD1496">
        <w:rPr>
          <w:rFonts w:asciiTheme="majorHAnsi" w:hAnsiTheme="majorHAnsi" w:cstheme="majorHAnsi"/>
        </w:rPr>
        <w:t xml:space="preserve">the </w:t>
      </w:r>
      <w:r w:rsidRPr="00AD1496">
        <w:rPr>
          <w:rFonts w:asciiTheme="majorHAnsi" w:hAnsiTheme="majorHAnsi" w:cstheme="majorHAnsi"/>
        </w:rPr>
        <w:t xml:space="preserve">MDBA or CEWO in each financial year are summarised in </w:t>
      </w:r>
      <w:r w:rsidRPr="00AD1496">
        <w:rPr>
          <w:rFonts w:asciiTheme="majorHAnsi" w:hAnsiTheme="majorHAnsi" w:cstheme="majorHAnsi"/>
        </w:rPr>
        <w:fldChar w:fldCharType="begin"/>
      </w:r>
      <w:r w:rsidRPr="00AD1496">
        <w:rPr>
          <w:rFonts w:asciiTheme="majorHAnsi" w:hAnsiTheme="majorHAnsi" w:cstheme="majorHAnsi"/>
        </w:rPr>
        <w:instrText xml:space="preserve"> REF _Ref14081411 \w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Figure 3 below</w:t>
      </w:r>
      <w:r w:rsidRPr="00AD1496">
        <w:rPr>
          <w:rFonts w:asciiTheme="majorHAnsi" w:hAnsiTheme="majorHAnsi" w:cstheme="majorHAnsi"/>
        </w:rPr>
        <w:fldChar w:fldCharType="end"/>
      </w:r>
      <w:r w:rsidRPr="00AD1496">
        <w:rPr>
          <w:rFonts w:asciiTheme="majorHAnsi" w:hAnsiTheme="majorHAnsi" w:cstheme="majorHAnsi"/>
        </w:rPr>
        <w:t xml:space="preserve">. The trend was that </w:t>
      </w:r>
      <w:r w:rsidR="001E4B3E" w:rsidRPr="00AD1496">
        <w:rPr>
          <w:rFonts w:asciiTheme="majorHAnsi" w:hAnsiTheme="majorHAnsi" w:cstheme="majorHAnsi"/>
        </w:rPr>
        <w:t xml:space="preserve">the </w:t>
      </w:r>
      <w:r w:rsidRPr="00AD1496">
        <w:rPr>
          <w:rFonts w:asciiTheme="majorHAnsi" w:hAnsiTheme="majorHAnsi" w:cstheme="majorHAnsi"/>
        </w:rPr>
        <w:t xml:space="preserve">MDBA and CEWO </w:t>
      </w:r>
      <w:r w:rsidR="001E4B3E" w:rsidRPr="00AD1496">
        <w:rPr>
          <w:rFonts w:asciiTheme="majorHAnsi" w:hAnsiTheme="majorHAnsi" w:cstheme="majorHAnsi"/>
        </w:rPr>
        <w:t>identified more issues over time around</w:t>
      </w:r>
      <w:r w:rsidRPr="00AD1496">
        <w:rPr>
          <w:rFonts w:asciiTheme="majorHAnsi" w:hAnsiTheme="majorHAnsi" w:cstheme="majorHAnsi"/>
        </w:rPr>
        <w:t xml:space="preserve"> compliance for Milestone 8. This correlates with the Department’s annual assessments; over time more milestones were only partially met.</w:t>
      </w:r>
    </w:p>
    <w:p w14:paraId="5D3EFAE7" w14:textId="540D918A" w:rsidR="0059633B" w:rsidRPr="00AD1496" w:rsidRDefault="00C23EE1" w:rsidP="0059633B">
      <w:pPr>
        <w:rPr>
          <w:rFonts w:asciiTheme="majorHAnsi" w:hAnsiTheme="majorHAnsi" w:cstheme="majorHAnsi"/>
        </w:rPr>
      </w:pPr>
      <w:r>
        <w:rPr>
          <w:rFonts w:asciiTheme="majorHAnsi" w:hAnsiTheme="majorHAnsi" w:cstheme="majorHAnsi"/>
        </w:rPr>
        <w:t>A</w:t>
      </w:r>
      <w:r w:rsidRPr="00AD1496">
        <w:rPr>
          <w:rFonts w:asciiTheme="majorHAnsi" w:hAnsiTheme="majorHAnsi" w:cstheme="majorHAnsi"/>
        </w:rPr>
        <w:t>s expected given their differing responsibilities</w:t>
      </w:r>
      <w:r>
        <w:rPr>
          <w:rFonts w:asciiTheme="majorHAnsi" w:hAnsiTheme="majorHAnsi" w:cstheme="majorHAnsi"/>
        </w:rPr>
        <w:t>,</w:t>
      </w:r>
      <w:r w:rsidRPr="00AD1496" w:rsidDel="00C23EE1">
        <w:rPr>
          <w:rFonts w:asciiTheme="majorHAnsi" w:hAnsiTheme="majorHAnsi" w:cstheme="majorHAnsi"/>
        </w:rPr>
        <w:t xml:space="preserve"> </w:t>
      </w:r>
      <w:r>
        <w:rPr>
          <w:rFonts w:asciiTheme="majorHAnsi" w:hAnsiTheme="majorHAnsi" w:cstheme="majorHAnsi"/>
        </w:rPr>
        <w:t>t</w:t>
      </w:r>
      <w:r w:rsidR="001E4B3E" w:rsidRPr="00AD1496">
        <w:rPr>
          <w:rFonts w:asciiTheme="majorHAnsi" w:hAnsiTheme="majorHAnsi" w:cstheme="majorHAnsi"/>
        </w:rPr>
        <w:t xml:space="preserve">he </w:t>
      </w:r>
      <w:r w:rsidR="0059633B" w:rsidRPr="00AD1496">
        <w:rPr>
          <w:rFonts w:asciiTheme="majorHAnsi" w:hAnsiTheme="majorHAnsi" w:cstheme="majorHAnsi"/>
        </w:rPr>
        <w:t xml:space="preserve">MDBA and CEWO </w:t>
      </w:r>
      <w:r w:rsidR="007638B1">
        <w:rPr>
          <w:rFonts w:asciiTheme="majorHAnsi" w:hAnsiTheme="majorHAnsi" w:cstheme="majorHAnsi"/>
        </w:rPr>
        <w:t xml:space="preserve">generally </w:t>
      </w:r>
      <w:r w:rsidR="0059633B" w:rsidRPr="00AD1496">
        <w:rPr>
          <w:rFonts w:asciiTheme="majorHAnsi" w:hAnsiTheme="majorHAnsi" w:cstheme="majorHAnsi"/>
        </w:rPr>
        <w:t>provide</w:t>
      </w:r>
      <w:r>
        <w:rPr>
          <w:rFonts w:asciiTheme="majorHAnsi" w:hAnsiTheme="majorHAnsi" w:cstheme="majorHAnsi"/>
        </w:rPr>
        <w:t>d</w:t>
      </w:r>
      <w:r w:rsidR="0059633B" w:rsidRPr="00AD1496">
        <w:rPr>
          <w:rFonts w:asciiTheme="majorHAnsi" w:hAnsiTheme="majorHAnsi" w:cstheme="majorHAnsi"/>
        </w:rPr>
        <w:t xml:space="preserve"> advice on </w:t>
      </w:r>
      <w:r w:rsidR="007638B1">
        <w:rPr>
          <w:rFonts w:asciiTheme="majorHAnsi" w:hAnsiTheme="majorHAnsi" w:cstheme="majorHAnsi"/>
        </w:rPr>
        <w:t>differen</w:t>
      </w:r>
      <w:r w:rsidR="00241EBD">
        <w:rPr>
          <w:rFonts w:asciiTheme="majorHAnsi" w:hAnsiTheme="majorHAnsi" w:cstheme="majorHAnsi"/>
        </w:rPr>
        <w:t>t</w:t>
      </w:r>
      <w:r w:rsidR="005F6022">
        <w:rPr>
          <w:rFonts w:asciiTheme="majorHAnsi" w:hAnsiTheme="majorHAnsi" w:cstheme="majorHAnsi"/>
        </w:rPr>
        <w:t xml:space="preserve"> milestones</w:t>
      </w:r>
      <w:r w:rsidR="007638B1">
        <w:rPr>
          <w:rFonts w:asciiTheme="majorHAnsi" w:hAnsiTheme="majorHAnsi" w:cstheme="majorHAnsi"/>
        </w:rPr>
        <w:t>, or parts of milestones</w:t>
      </w:r>
      <w:r w:rsidR="0059633B" w:rsidRPr="00AD1496">
        <w:rPr>
          <w:rFonts w:asciiTheme="majorHAnsi" w:hAnsiTheme="majorHAnsi" w:cstheme="majorHAnsi"/>
        </w:rPr>
        <w:t xml:space="preserve">. There were only six instances where advice from </w:t>
      </w:r>
      <w:r w:rsidR="001E4B3E" w:rsidRPr="00AD1496">
        <w:rPr>
          <w:rFonts w:asciiTheme="majorHAnsi" w:hAnsiTheme="majorHAnsi" w:cstheme="majorHAnsi"/>
        </w:rPr>
        <w:t xml:space="preserve">the </w:t>
      </w:r>
      <w:r w:rsidR="0059633B" w:rsidRPr="00AD1496">
        <w:rPr>
          <w:rFonts w:asciiTheme="majorHAnsi" w:hAnsiTheme="majorHAnsi" w:cstheme="majorHAnsi"/>
        </w:rPr>
        <w:t>MDBA and CEWO overlapped. This advice was for:</w:t>
      </w:r>
    </w:p>
    <w:p w14:paraId="542C5A51" w14:textId="77777777" w:rsidR="0059633B" w:rsidRPr="00AD1496" w:rsidRDefault="0059633B" w:rsidP="008D175D">
      <w:pPr>
        <w:numPr>
          <w:ilvl w:val="0"/>
          <w:numId w:val="20"/>
        </w:numPr>
        <w:spacing w:after="0"/>
        <w:rPr>
          <w:rFonts w:asciiTheme="majorHAnsi" w:hAnsiTheme="majorHAnsi" w:cstheme="majorHAnsi"/>
        </w:rPr>
      </w:pPr>
      <w:r w:rsidRPr="00AD1496">
        <w:rPr>
          <w:rFonts w:asciiTheme="majorHAnsi" w:hAnsiTheme="majorHAnsi" w:cstheme="majorHAnsi"/>
        </w:rPr>
        <w:lastRenderedPageBreak/>
        <w:t xml:space="preserve">Milestone 8b for NSW in 2015 -16 </w:t>
      </w:r>
    </w:p>
    <w:p w14:paraId="4491AC91" w14:textId="77777777" w:rsidR="0059633B" w:rsidRPr="00AD1496" w:rsidRDefault="0059633B" w:rsidP="008D175D">
      <w:pPr>
        <w:numPr>
          <w:ilvl w:val="0"/>
          <w:numId w:val="20"/>
        </w:numPr>
        <w:spacing w:after="0"/>
        <w:rPr>
          <w:rFonts w:asciiTheme="majorHAnsi" w:hAnsiTheme="majorHAnsi" w:cstheme="majorHAnsi"/>
        </w:rPr>
      </w:pPr>
      <w:r w:rsidRPr="00AD1496">
        <w:rPr>
          <w:rFonts w:asciiTheme="majorHAnsi" w:hAnsiTheme="majorHAnsi" w:cstheme="majorHAnsi"/>
        </w:rPr>
        <w:t>Milestone 8d for NSW in 2015 -16</w:t>
      </w:r>
    </w:p>
    <w:p w14:paraId="23961A08" w14:textId="77777777" w:rsidR="0059633B" w:rsidRPr="00AD1496" w:rsidRDefault="0059633B" w:rsidP="008D175D">
      <w:pPr>
        <w:numPr>
          <w:ilvl w:val="0"/>
          <w:numId w:val="20"/>
        </w:numPr>
        <w:spacing w:after="0"/>
        <w:rPr>
          <w:rFonts w:asciiTheme="majorHAnsi" w:hAnsiTheme="majorHAnsi" w:cstheme="majorHAnsi"/>
        </w:rPr>
      </w:pPr>
      <w:r w:rsidRPr="00AD1496">
        <w:rPr>
          <w:rFonts w:asciiTheme="majorHAnsi" w:hAnsiTheme="majorHAnsi" w:cstheme="majorHAnsi"/>
        </w:rPr>
        <w:t>Milestone 8b for NSW in 2016-17</w:t>
      </w:r>
    </w:p>
    <w:p w14:paraId="50717933" w14:textId="77777777" w:rsidR="0059633B" w:rsidRPr="00AD1496" w:rsidRDefault="0059633B" w:rsidP="008D175D">
      <w:pPr>
        <w:numPr>
          <w:ilvl w:val="0"/>
          <w:numId w:val="20"/>
        </w:numPr>
        <w:spacing w:after="0"/>
        <w:rPr>
          <w:rFonts w:asciiTheme="majorHAnsi" w:hAnsiTheme="majorHAnsi" w:cstheme="majorHAnsi"/>
        </w:rPr>
      </w:pPr>
      <w:r w:rsidRPr="00AD1496">
        <w:rPr>
          <w:rFonts w:asciiTheme="majorHAnsi" w:hAnsiTheme="majorHAnsi" w:cstheme="majorHAnsi"/>
        </w:rPr>
        <w:t>Milestone 8d for NSW in 2016-17</w:t>
      </w:r>
    </w:p>
    <w:p w14:paraId="2C4380A1" w14:textId="77777777" w:rsidR="0059633B" w:rsidRPr="00AD1496" w:rsidRDefault="0059633B" w:rsidP="008D175D">
      <w:pPr>
        <w:numPr>
          <w:ilvl w:val="0"/>
          <w:numId w:val="20"/>
        </w:numPr>
        <w:spacing w:after="0"/>
        <w:rPr>
          <w:rFonts w:asciiTheme="majorHAnsi" w:hAnsiTheme="majorHAnsi" w:cstheme="majorHAnsi"/>
        </w:rPr>
      </w:pPr>
      <w:r w:rsidRPr="00AD1496">
        <w:rPr>
          <w:rFonts w:asciiTheme="majorHAnsi" w:hAnsiTheme="majorHAnsi" w:cstheme="majorHAnsi"/>
        </w:rPr>
        <w:t>Milestone 8b for NSW and QLD in 2017-18</w:t>
      </w:r>
    </w:p>
    <w:p w14:paraId="34AA77EE" w14:textId="46CDB1BA" w:rsidR="0059633B" w:rsidRPr="00AD1496" w:rsidRDefault="0059633B" w:rsidP="008D175D">
      <w:pPr>
        <w:numPr>
          <w:ilvl w:val="0"/>
          <w:numId w:val="20"/>
        </w:numPr>
        <w:rPr>
          <w:rFonts w:asciiTheme="majorHAnsi" w:hAnsiTheme="majorHAnsi" w:cstheme="majorHAnsi"/>
        </w:rPr>
      </w:pPr>
      <w:r w:rsidRPr="00AD1496">
        <w:rPr>
          <w:rFonts w:asciiTheme="majorHAnsi" w:hAnsiTheme="majorHAnsi" w:cstheme="majorHAnsi"/>
        </w:rPr>
        <w:t>Milestone 8f for ACT, NSW and QLD in 2017-18</w:t>
      </w:r>
      <w:r w:rsidR="005F6022">
        <w:rPr>
          <w:rFonts w:asciiTheme="majorHAnsi" w:hAnsiTheme="majorHAnsi" w:cstheme="majorHAnsi"/>
        </w:rPr>
        <w:t>.</w:t>
      </w:r>
    </w:p>
    <w:p w14:paraId="0AC7BE54" w14:textId="0EDB2BC6" w:rsidR="0059633B" w:rsidRPr="00AD1496" w:rsidRDefault="0059633B" w:rsidP="0059633B">
      <w:pPr>
        <w:rPr>
          <w:rFonts w:asciiTheme="majorHAnsi" w:hAnsiTheme="majorHAnsi" w:cstheme="majorHAnsi"/>
        </w:rPr>
      </w:pPr>
    </w:p>
    <w:p w14:paraId="66C538C0" w14:textId="77777777" w:rsidR="0059633B" w:rsidRPr="00AD1496" w:rsidRDefault="0059633B" w:rsidP="0059633B">
      <w:pPr>
        <w:rPr>
          <w:rFonts w:asciiTheme="majorHAnsi" w:hAnsiTheme="majorHAnsi" w:cstheme="majorHAnsi"/>
        </w:rPr>
      </w:pPr>
    </w:p>
    <w:p w14:paraId="371F0D78" w14:textId="77777777" w:rsidR="0059633B" w:rsidRPr="00AD1496" w:rsidRDefault="0059633B" w:rsidP="0059633B">
      <w:pPr>
        <w:rPr>
          <w:rFonts w:asciiTheme="majorHAnsi" w:hAnsiTheme="majorHAnsi" w:cstheme="majorHAnsi"/>
        </w:rPr>
        <w:sectPr w:rsidR="0059633B" w:rsidRPr="00AD1496" w:rsidSect="00863F8D">
          <w:headerReference w:type="default" r:id="rId23"/>
          <w:pgSz w:w="11906" w:h="16838" w:code="9"/>
          <w:pgMar w:top="1418" w:right="1418" w:bottom="1418" w:left="1418" w:header="567" w:footer="567" w:gutter="0"/>
          <w:cols w:space="708"/>
          <w:docGrid w:linePitch="360"/>
        </w:sectPr>
      </w:pPr>
    </w:p>
    <w:p w14:paraId="3D5487C4" w14:textId="331EE5A8" w:rsidR="0059633B" w:rsidRPr="00AD1496" w:rsidRDefault="0059633B" w:rsidP="0059633B">
      <w:pPr>
        <w:pStyle w:val="FigureHeading"/>
        <w:spacing w:before="0"/>
        <w:rPr>
          <w:rFonts w:asciiTheme="majorHAnsi" w:hAnsiTheme="majorHAnsi" w:cstheme="majorHAnsi"/>
        </w:rPr>
      </w:pPr>
      <w:bookmarkStart w:id="40" w:name="_Ref14081411"/>
      <w:bookmarkStart w:id="41" w:name="_Toc14105551"/>
      <w:bookmarkStart w:id="42" w:name="_Ref16602647"/>
      <w:r w:rsidRPr="00AD1496">
        <w:rPr>
          <w:rFonts w:asciiTheme="majorHAnsi" w:hAnsiTheme="majorHAnsi" w:cstheme="majorHAnsi"/>
        </w:rPr>
        <w:lastRenderedPageBreak/>
        <w:t>MDBA &amp; CEWO advice</w:t>
      </w:r>
      <w:bookmarkEnd w:id="40"/>
      <w:bookmarkEnd w:id="41"/>
      <w:bookmarkEnd w:id="42"/>
    </w:p>
    <w:p w14:paraId="6EE93581" w14:textId="0C4106A4" w:rsidR="0059633B" w:rsidRPr="00AD1496" w:rsidRDefault="00397F91" w:rsidP="0059633B">
      <w:pPr>
        <w:rPr>
          <w:rFonts w:asciiTheme="majorHAnsi" w:hAnsiTheme="majorHAnsi" w:cstheme="majorHAnsi"/>
          <w:noProof/>
          <w:lang w:eastAsia="en-AU"/>
        </w:rPr>
      </w:pPr>
      <w:r w:rsidRPr="00AD1496">
        <w:rPr>
          <w:rFonts w:asciiTheme="majorHAnsi" w:hAnsiTheme="majorHAnsi" w:cstheme="majorHAnsi"/>
          <w:noProof/>
          <w:lang w:eastAsia="en-AU"/>
        </w:rPr>
        <w:drawing>
          <wp:inline distT="0" distB="0" distL="0" distR="0" wp14:anchorId="35A879DA" wp14:editId="094A58CC">
            <wp:extent cx="8891270" cy="49377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270" cy="4937760"/>
                    </a:xfrm>
                    <a:prstGeom prst="rect">
                      <a:avLst/>
                    </a:prstGeom>
                  </pic:spPr>
                </pic:pic>
              </a:graphicData>
            </a:graphic>
          </wp:inline>
        </w:drawing>
      </w:r>
    </w:p>
    <w:p w14:paraId="03B684C3" w14:textId="52D33CC0" w:rsidR="0059633B" w:rsidRPr="00AD1496" w:rsidRDefault="00136937" w:rsidP="0059633B">
      <w:pPr>
        <w:pStyle w:val="Notes"/>
        <w:rPr>
          <w:rFonts w:asciiTheme="majorHAnsi" w:hAnsiTheme="majorHAnsi" w:cstheme="majorHAnsi"/>
          <w:sz w:val="16"/>
        </w:rPr>
      </w:pPr>
      <w:r w:rsidRPr="00AD1496">
        <w:rPr>
          <w:rFonts w:asciiTheme="majorHAnsi" w:hAnsiTheme="majorHAnsi" w:cstheme="majorHAnsi"/>
          <w:sz w:val="16"/>
        </w:rPr>
        <w:t>Note. For 2012-13 and 2013-14, the advice provided cannot be broken down per milestone as MDBA and CEWO did not provide that detail. Milestone 2 &amp; 6, 3 &amp; 7, 4 &amp; 8, 5 &amp; 9 are largely equivalent hence the figure only refers to milestone 6, 7, 8 and 9</w:t>
      </w:r>
      <w:r w:rsidR="0059633B" w:rsidRPr="00AD1496">
        <w:rPr>
          <w:rFonts w:asciiTheme="majorHAnsi" w:hAnsiTheme="majorHAnsi" w:cstheme="majorHAnsi"/>
          <w:sz w:val="16"/>
        </w:rPr>
        <w:t>.</w:t>
      </w:r>
    </w:p>
    <w:p w14:paraId="0C0FD9BA" w14:textId="77777777" w:rsidR="0059633B" w:rsidRPr="00AD1496" w:rsidRDefault="0059633B" w:rsidP="0059633B">
      <w:pPr>
        <w:rPr>
          <w:rFonts w:asciiTheme="majorHAnsi" w:hAnsiTheme="majorHAnsi" w:cstheme="majorHAnsi"/>
        </w:rPr>
        <w:sectPr w:rsidR="0059633B" w:rsidRPr="00AD1496" w:rsidSect="00991ED5">
          <w:pgSz w:w="16838" w:h="11906" w:orient="landscape" w:code="9"/>
          <w:pgMar w:top="1418" w:right="1418" w:bottom="1418" w:left="1418" w:header="567" w:footer="567" w:gutter="0"/>
          <w:cols w:space="708"/>
          <w:docGrid w:linePitch="360"/>
        </w:sectPr>
      </w:pPr>
    </w:p>
    <w:p w14:paraId="1FDE7588" w14:textId="16704B36" w:rsidR="00015AC6" w:rsidRPr="00AD1496" w:rsidRDefault="00015AC6" w:rsidP="0038060A">
      <w:pPr>
        <w:pStyle w:val="Heading3"/>
        <w:rPr>
          <w:rFonts w:asciiTheme="majorHAnsi" w:hAnsiTheme="majorHAnsi" w:cstheme="majorHAnsi"/>
        </w:rPr>
      </w:pPr>
      <w:r w:rsidRPr="00AD1496">
        <w:rPr>
          <w:rFonts w:asciiTheme="majorHAnsi" w:hAnsiTheme="majorHAnsi" w:cstheme="majorHAnsi"/>
        </w:rPr>
        <w:lastRenderedPageBreak/>
        <w:t>Fewer milestones were fully met over time</w:t>
      </w:r>
    </w:p>
    <w:p w14:paraId="1AEF4D45" w14:textId="63DE1109" w:rsidR="00015AC6" w:rsidRPr="00AD1496" w:rsidRDefault="00015AC6" w:rsidP="00015AC6">
      <w:pPr>
        <w:rPr>
          <w:rFonts w:asciiTheme="majorHAnsi" w:hAnsiTheme="majorHAnsi" w:cstheme="majorHAnsi"/>
        </w:rPr>
      </w:pPr>
      <w:r w:rsidRPr="00AD1496">
        <w:rPr>
          <w:rFonts w:asciiTheme="majorHAnsi" w:hAnsiTheme="majorHAnsi" w:cstheme="majorHAnsi"/>
        </w:rPr>
        <w:t xml:space="preserve">In recent years, there </w:t>
      </w:r>
      <w:r w:rsidR="009D23D5" w:rsidRPr="00AD1496">
        <w:rPr>
          <w:rFonts w:asciiTheme="majorHAnsi" w:hAnsiTheme="majorHAnsi" w:cstheme="majorHAnsi"/>
        </w:rPr>
        <w:t>was</w:t>
      </w:r>
      <w:r w:rsidRPr="00AD1496">
        <w:rPr>
          <w:rFonts w:asciiTheme="majorHAnsi" w:hAnsiTheme="majorHAnsi" w:cstheme="majorHAnsi"/>
        </w:rPr>
        <w:t xml:space="preserve"> a trend for milestones to be only partially met. To date, 60 milestones were</w:t>
      </w:r>
      <w:r w:rsidR="00B83ABC" w:rsidRPr="00AD1496">
        <w:rPr>
          <w:rFonts w:asciiTheme="majorHAnsi" w:hAnsiTheme="majorHAnsi" w:cstheme="majorHAnsi"/>
        </w:rPr>
        <w:t xml:space="preserve"> assessed as</w:t>
      </w:r>
      <w:r w:rsidRPr="00AD1496">
        <w:rPr>
          <w:rFonts w:asciiTheme="majorHAnsi" w:hAnsiTheme="majorHAnsi" w:cstheme="majorHAnsi"/>
        </w:rPr>
        <w:t xml:space="preserve"> met, 22 milestones were partially </w:t>
      </w:r>
      <w:r w:rsidR="00AD6387" w:rsidRPr="00AD1496">
        <w:rPr>
          <w:rFonts w:asciiTheme="majorHAnsi" w:hAnsiTheme="majorHAnsi" w:cstheme="majorHAnsi"/>
        </w:rPr>
        <w:t>met,</w:t>
      </w:r>
      <w:r w:rsidRPr="00AD1496">
        <w:rPr>
          <w:rFonts w:asciiTheme="majorHAnsi" w:hAnsiTheme="majorHAnsi" w:cstheme="majorHAnsi"/>
        </w:rPr>
        <w:t xml:space="preserve"> and one milestone was not met. </w:t>
      </w:r>
    </w:p>
    <w:p w14:paraId="13453C4B" w14:textId="1F1D3D35" w:rsidR="00AD6387" w:rsidRPr="00AD1496" w:rsidRDefault="00AD6387" w:rsidP="00015AC6">
      <w:pPr>
        <w:rPr>
          <w:rFonts w:asciiTheme="majorHAnsi" w:hAnsiTheme="majorHAnsi" w:cstheme="majorHAnsi"/>
        </w:rPr>
      </w:pPr>
      <w:r w:rsidRPr="00AD1496">
        <w:rPr>
          <w:rFonts w:asciiTheme="majorHAnsi" w:hAnsiTheme="majorHAnsi" w:cstheme="majorHAnsi"/>
        </w:rPr>
        <w:t xml:space="preserve">We understand that this trend towards partial completion of milestones is, in part, related to actual State progress in implementing the water reforms becoming more salient. For example, in the early years of the NPA it was unclear whether </w:t>
      </w:r>
      <w:r w:rsidR="003C06A0">
        <w:rPr>
          <w:rFonts w:asciiTheme="majorHAnsi" w:hAnsiTheme="majorHAnsi" w:cstheme="majorHAnsi"/>
        </w:rPr>
        <w:t>LTWPs</w:t>
      </w:r>
      <w:r w:rsidR="003C06A0" w:rsidRPr="00AD1496">
        <w:rPr>
          <w:rFonts w:asciiTheme="majorHAnsi" w:hAnsiTheme="majorHAnsi" w:cstheme="majorHAnsi"/>
        </w:rPr>
        <w:t xml:space="preserve"> </w:t>
      </w:r>
      <w:r w:rsidRPr="00AD1496">
        <w:rPr>
          <w:rFonts w:asciiTheme="majorHAnsi" w:hAnsiTheme="majorHAnsi" w:cstheme="majorHAnsi"/>
        </w:rPr>
        <w:t xml:space="preserve">would be delivered on time but, as their deadline approached, it became more certain </w:t>
      </w:r>
      <w:r w:rsidR="00E3279D" w:rsidRPr="00AD1496">
        <w:rPr>
          <w:rFonts w:asciiTheme="majorHAnsi" w:hAnsiTheme="majorHAnsi" w:cstheme="majorHAnsi"/>
        </w:rPr>
        <w:t xml:space="preserve">that </w:t>
      </w:r>
      <w:r w:rsidRPr="00AD1496">
        <w:rPr>
          <w:rFonts w:asciiTheme="majorHAnsi" w:hAnsiTheme="majorHAnsi" w:cstheme="majorHAnsi"/>
        </w:rPr>
        <w:t>it would not be possible for them to be delivered on time.</w:t>
      </w:r>
      <w:r w:rsidR="005F6022">
        <w:rPr>
          <w:rFonts w:asciiTheme="majorHAnsi" w:hAnsiTheme="majorHAnsi" w:cstheme="majorHAnsi"/>
        </w:rPr>
        <w:t xml:space="preserve"> It should be noted</w:t>
      </w:r>
      <w:r w:rsidR="0088136F">
        <w:rPr>
          <w:rFonts w:asciiTheme="majorHAnsi" w:hAnsiTheme="majorHAnsi" w:cstheme="majorHAnsi"/>
        </w:rPr>
        <w:t>, given the complexity of achieving reform outcomes (such as LTWPs) that the Commonwealth did not assess partial achievement of a milestone as cause for non-payment</w:t>
      </w:r>
      <w:r w:rsidR="001E6804">
        <w:rPr>
          <w:rFonts w:asciiTheme="majorHAnsi" w:hAnsiTheme="majorHAnsi" w:cstheme="majorHAnsi"/>
        </w:rPr>
        <w:t xml:space="preserve"> provided progress was being made to achieve the milestone in future</w:t>
      </w:r>
      <w:r w:rsidR="0088136F">
        <w:rPr>
          <w:rFonts w:asciiTheme="majorHAnsi" w:hAnsiTheme="majorHAnsi" w:cstheme="majorHAnsi"/>
        </w:rPr>
        <w:t>.</w:t>
      </w:r>
    </w:p>
    <w:p w14:paraId="24F8C505" w14:textId="6C99ACE9" w:rsidR="00DB6904" w:rsidRPr="00AD1496" w:rsidRDefault="0038060A" w:rsidP="00691206">
      <w:pPr>
        <w:pStyle w:val="Heading2"/>
        <w:rPr>
          <w:rFonts w:asciiTheme="majorHAnsi" w:hAnsiTheme="majorHAnsi" w:cstheme="majorHAnsi"/>
        </w:rPr>
      </w:pPr>
      <w:bookmarkStart w:id="43" w:name="_i7ua3m8qcigi" w:colFirst="0" w:colLast="0"/>
      <w:bookmarkStart w:id="44" w:name="_3r4w7sml0d21" w:colFirst="0" w:colLast="0"/>
      <w:bookmarkStart w:id="45" w:name="_vs9fcc5505uy" w:colFirst="0" w:colLast="0"/>
      <w:bookmarkStart w:id="46" w:name="_mwy1ksx8sagc" w:colFirst="0" w:colLast="0"/>
      <w:bookmarkStart w:id="47" w:name="_Toc33700621"/>
      <w:bookmarkEnd w:id="43"/>
      <w:bookmarkEnd w:id="44"/>
      <w:bookmarkEnd w:id="45"/>
      <w:bookmarkEnd w:id="46"/>
      <w:r w:rsidRPr="00AD1496">
        <w:rPr>
          <w:rFonts w:asciiTheme="majorHAnsi" w:hAnsiTheme="majorHAnsi" w:cstheme="majorHAnsi"/>
        </w:rPr>
        <w:lastRenderedPageBreak/>
        <w:t>Operations and efficiency of the NPA implementation arrangements</w:t>
      </w:r>
      <w:bookmarkEnd w:id="47"/>
    </w:p>
    <w:p w14:paraId="17F2D67D" w14:textId="77777777" w:rsidR="0092386E" w:rsidRPr="00AD1496" w:rsidRDefault="0092386E" w:rsidP="0092386E">
      <w:pPr>
        <w:pStyle w:val="Boxheading"/>
        <w:rPr>
          <w:rFonts w:asciiTheme="majorHAnsi" w:hAnsiTheme="majorHAnsi" w:cstheme="majorHAnsi"/>
        </w:rPr>
      </w:pPr>
    </w:p>
    <w:p w14:paraId="6246F0F9" w14:textId="0A610567" w:rsidR="00D56E7D" w:rsidRPr="00AD1496" w:rsidRDefault="002F71C1" w:rsidP="00D56E7D">
      <w:pPr>
        <w:pStyle w:val="Boxheading"/>
        <w:rPr>
          <w:rFonts w:asciiTheme="majorHAnsi" w:hAnsiTheme="majorHAnsi" w:cstheme="majorHAnsi"/>
        </w:rPr>
      </w:pPr>
      <w:r w:rsidRPr="00AD1496">
        <w:rPr>
          <w:rFonts w:asciiTheme="majorHAnsi" w:hAnsiTheme="majorHAnsi" w:cstheme="majorHAnsi"/>
        </w:rPr>
        <w:t>Term of Reference 2</w:t>
      </w:r>
      <w:r w:rsidR="00D56E7D" w:rsidRPr="00AD1496">
        <w:rPr>
          <w:rFonts w:asciiTheme="majorHAnsi" w:hAnsiTheme="majorHAnsi" w:cstheme="majorHAnsi"/>
        </w:rPr>
        <w:br/>
      </w:r>
    </w:p>
    <w:p w14:paraId="1EA6CDD2" w14:textId="77777777" w:rsidR="002F71C1" w:rsidRPr="00AD1496" w:rsidRDefault="002F71C1" w:rsidP="002F71C1">
      <w:pPr>
        <w:pStyle w:val="Boxtext0"/>
        <w:rPr>
          <w:rFonts w:asciiTheme="majorHAnsi" w:hAnsiTheme="majorHAnsi" w:cstheme="majorHAnsi"/>
        </w:rPr>
      </w:pPr>
      <w:r w:rsidRPr="00AD1496">
        <w:rPr>
          <w:rFonts w:asciiTheme="majorHAnsi" w:hAnsiTheme="majorHAnsi" w:cstheme="majorHAnsi"/>
        </w:rPr>
        <w:t xml:space="preserve">Assessment of the operations and efficiency of the implementation arrangements in the NPA, specifically: </w:t>
      </w:r>
    </w:p>
    <w:p w14:paraId="65EDBC60" w14:textId="77777777" w:rsidR="002F71C1" w:rsidRPr="00AD1496" w:rsidRDefault="002F71C1" w:rsidP="002F71C1">
      <w:pPr>
        <w:pStyle w:val="Boxbullets"/>
        <w:rPr>
          <w:rFonts w:asciiTheme="majorHAnsi" w:hAnsiTheme="majorHAnsi" w:cstheme="majorHAnsi"/>
        </w:rPr>
      </w:pPr>
      <w:r w:rsidRPr="00AD1496">
        <w:rPr>
          <w:rFonts w:asciiTheme="majorHAnsi" w:hAnsiTheme="majorHAnsi" w:cstheme="majorHAnsi"/>
        </w:rPr>
        <w:t>the extent to which all Parties are carrying out their assigned roles and responsibilities</w:t>
      </w:r>
    </w:p>
    <w:p w14:paraId="7AC3B6A4" w14:textId="159B0E61" w:rsidR="00CE0278" w:rsidRPr="00AD1496" w:rsidRDefault="002F71C1" w:rsidP="00CE0278">
      <w:pPr>
        <w:pStyle w:val="Boxbullets"/>
        <w:spacing w:after="240"/>
        <w:ind w:left="230" w:hanging="230"/>
        <w:rPr>
          <w:rFonts w:asciiTheme="majorHAnsi" w:hAnsiTheme="majorHAnsi" w:cstheme="majorHAnsi"/>
        </w:rPr>
      </w:pPr>
      <w:r w:rsidRPr="00AD1496">
        <w:rPr>
          <w:rFonts w:asciiTheme="majorHAnsi" w:hAnsiTheme="majorHAnsi" w:cstheme="majorHAnsi"/>
        </w:rPr>
        <w:t>the quality, timeliness, accuracy and suitability of performance reporting and assessment arrangements, including whether the performance indicators adequately measure achievement of the outcomes of this NPA</w:t>
      </w:r>
      <w:r w:rsidR="0092386E" w:rsidRPr="00AD1496">
        <w:rPr>
          <w:rFonts w:asciiTheme="majorHAnsi" w:hAnsiTheme="majorHAnsi" w:cstheme="majorHAnsi"/>
        </w:rPr>
        <w:br/>
      </w:r>
    </w:p>
    <w:p w14:paraId="0F4BA0B8" w14:textId="56BBE7DC" w:rsidR="00512C05" w:rsidRPr="00AD1496" w:rsidRDefault="00512C05" w:rsidP="00F91A85">
      <w:pPr>
        <w:pStyle w:val="Heading3"/>
        <w:rPr>
          <w:rFonts w:asciiTheme="majorHAnsi" w:hAnsiTheme="majorHAnsi" w:cstheme="majorHAnsi"/>
        </w:rPr>
      </w:pPr>
      <w:r w:rsidRPr="00AD1496">
        <w:rPr>
          <w:rFonts w:asciiTheme="majorHAnsi" w:hAnsiTheme="majorHAnsi" w:cstheme="majorHAnsi"/>
        </w:rPr>
        <w:t>Roles and responsibilities</w:t>
      </w:r>
    </w:p>
    <w:p w14:paraId="600D6BD3" w14:textId="0D2E91E8" w:rsidR="00E02829" w:rsidRPr="00AD1496" w:rsidRDefault="00E02829" w:rsidP="00512C05">
      <w:pPr>
        <w:rPr>
          <w:rFonts w:asciiTheme="majorHAnsi" w:hAnsiTheme="majorHAnsi" w:cstheme="majorHAnsi"/>
        </w:rPr>
      </w:pPr>
      <w:r w:rsidRPr="00AD1496">
        <w:rPr>
          <w:rFonts w:asciiTheme="majorHAnsi" w:hAnsiTheme="majorHAnsi" w:cstheme="majorHAnsi"/>
        </w:rPr>
        <w:t xml:space="preserve">All parties are carrying out their </w:t>
      </w:r>
      <w:r w:rsidR="00D56E7D" w:rsidRPr="00AD1496">
        <w:rPr>
          <w:rFonts w:asciiTheme="majorHAnsi" w:hAnsiTheme="majorHAnsi" w:cstheme="majorHAnsi"/>
        </w:rPr>
        <w:t xml:space="preserve">assigned </w:t>
      </w:r>
      <w:r w:rsidRPr="00AD1496">
        <w:rPr>
          <w:rFonts w:asciiTheme="majorHAnsi" w:hAnsiTheme="majorHAnsi" w:cstheme="majorHAnsi"/>
        </w:rPr>
        <w:t>roles and responsibilities under the NPA, but there have been some delays in the execution of these over time.</w:t>
      </w:r>
    </w:p>
    <w:p w14:paraId="5C3D42BD" w14:textId="1A297ED4" w:rsidR="00DA71B4" w:rsidRPr="00AD1496" w:rsidRDefault="00DA71B4" w:rsidP="00512C05">
      <w:pPr>
        <w:rPr>
          <w:rFonts w:asciiTheme="majorHAnsi" w:hAnsiTheme="majorHAnsi" w:cstheme="majorHAnsi"/>
        </w:rPr>
      </w:pPr>
      <w:r w:rsidRPr="00AD1496">
        <w:rPr>
          <w:rFonts w:asciiTheme="majorHAnsi" w:hAnsiTheme="majorHAnsi" w:cstheme="majorHAnsi"/>
        </w:rPr>
        <w:lastRenderedPageBreak/>
        <w:t xml:space="preserve">The responsibility for the NPA assessment process has been transferred and </w:t>
      </w:r>
      <w:r w:rsidR="00D56E7D" w:rsidRPr="00AD1496">
        <w:rPr>
          <w:rFonts w:asciiTheme="majorHAnsi" w:hAnsiTheme="majorHAnsi" w:cstheme="majorHAnsi"/>
        </w:rPr>
        <w:t xml:space="preserve">has </w:t>
      </w:r>
      <w:r w:rsidRPr="00AD1496">
        <w:rPr>
          <w:rFonts w:asciiTheme="majorHAnsi" w:hAnsiTheme="majorHAnsi" w:cstheme="majorHAnsi"/>
        </w:rPr>
        <w:t xml:space="preserve">evolved since the NPA was drafted in 2012. Initially, the </w:t>
      </w:r>
      <w:r w:rsidR="00710AB1" w:rsidRPr="00AD1496">
        <w:rPr>
          <w:rFonts w:asciiTheme="majorHAnsi" w:hAnsiTheme="majorHAnsi" w:cstheme="majorHAnsi"/>
        </w:rPr>
        <w:t>National Water Commission (</w:t>
      </w:r>
      <w:r w:rsidRPr="00AD1496">
        <w:rPr>
          <w:rFonts w:asciiTheme="majorHAnsi" w:hAnsiTheme="majorHAnsi" w:cstheme="majorHAnsi"/>
        </w:rPr>
        <w:t>NWC</w:t>
      </w:r>
      <w:r w:rsidR="00710AB1" w:rsidRPr="00AD1496">
        <w:rPr>
          <w:rFonts w:asciiTheme="majorHAnsi" w:hAnsiTheme="majorHAnsi" w:cstheme="majorHAnsi"/>
        </w:rPr>
        <w:t>)</w:t>
      </w:r>
      <w:r w:rsidRPr="00AD1496">
        <w:rPr>
          <w:rFonts w:asciiTheme="majorHAnsi" w:hAnsiTheme="majorHAnsi" w:cstheme="majorHAnsi"/>
        </w:rPr>
        <w:t xml:space="preserve"> conducted the assessments of Basin States’ progress against the milestones</w:t>
      </w:r>
      <w:r w:rsidR="007477FE" w:rsidRPr="00AD1496">
        <w:rPr>
          <w:rFonts w:asciiTheme="majorHAnsi" w:hAnsiTheme="majorHAnsi" w:cstheme="majorHAnsi"/>
        </w:rPr>
        <w:t xml:space="preserve"> on behalf of the COAG Reform Council</w:t>
      </w:r>
      <w:r w:rsidR="00710AB1" w:rsidRPr="00AD1496">
        <w:rPr>
          <w:rFonts w:asciiTheme="majorHAnsi" w:hAnsiTheme="majorHAnsi" w:cstheme="majorHAnsi"/>
        </w:rPr>
        <w:t xml:space="preserve">, with supporting advice provided by the MDBA and Department of </w:t>
      </w:r>
      <w:r w:rsidR="00562090" w:rsidRPr="00AD1496">
        <w:rPr>
          <w:rFonts w:asciiTheme="majorHAnsi" w:hAnsiTheme="majorHAnsi" w:cstheme="majorHAnsi"/>
        </w:rPr>
        <w:t xml:space="preserve">the </w:t>
      </w:r>
      <w:r w:rsidR="00710AB1" w:rsidRPr="00AD1496">
        <w:rPr>
          <w:rFonts w:asciiTheme="majorHAnsi" w:hAnsiTheme="majorHAnsi" w:cstheme="majorHAnsi"/>
        </w:rPr>
        <w:t>Environment</w:t>
      </w:r>
      <w:r w:rsidR="002073FC" w:rsidRPr="00AD1496">
        <w:rPr>
          <w:rFonts w:asciiTheme="majorHAnsi" w:hAnsiTheme="majorHAnsi" w:cstheme="majorHAnsi"/>
        </w:rPr>
        <w:t xml:space="preserve"> (DoE)</w:t>
      </w:r>
      <w:r w:rsidR="00EC74A6" w:rsidRPr="00AD1496">
        <w:rPr>
          <w:rFonts w:asciiTheme="majorHAnsi" w:hAnsiTheme="majorHAnsi" w:cstheme="majorHAnsi"/>
        </w:rPr>
        <w:t>, including advice from the CEWO</w:t>
      </w:r>
      <w:r w:rsidRPr="00AD1496">
        <w:rPr>
          <w:rFonts w:asciiTheme="majorHAnsi" w:hAnsiTheme="majorHAnsi" w:cstheme="majorHAnsi"/>
        </w:rPr>
        <w:t xml:space="preserve">. However, </w:t>
      </w:r>
      <w:r w:rsidR="00D56E7D" w:rsidRPr="00AD1496">
        <w:rPr>
          <w:rFonts w:asciiTheme="majorHAnsi" w:hAnsiTheme="majorHAnsi" w:cstheme="majorHAnsi"/>
        </w:rPr>
        <w:t xml:space="preserve">with </w:t>
      </w:r>
      <w:r w:rsidRPr="00AD1496">
        <w:rPr>
          <w:rFonts w:asciiTheme="majorHAnsi" w:hAnsiTheme="majorHAnsi" w:cstheme="majorHAnsi"/>
        </w:rPr>
        <w:t>the abolition of the NWC in December 2014</w:t>
      </w:r>
      <w:r w:rsidR="00D56E7D" w:rsidRPr="00AD1496">
        <w:rPr>
          <w:rFonts w:asciiTheme="majorHAnsi" w:hAnsiTheme="majorHAnsi" w:cstheme="majorHAnsi"/>
        </w:rPr>
        <w:t>, the responsibility for conducting the assessments transferred to the</w:t>
      </w:r>
      <w:r w:rsidR="00710AB1" w:rsidRPr="00AD1496">
        <w:rPr>
          <w:rFonts w:asciiTheme="majorHAnsi" w:hAnsiTheme="majorHAnsi" w:cstheme="majorHAnsi"/>
        </w:rPr>
        <w:t xml:space="preserve"> (then) </w:t>
      </w:r>
      <w:r w:rsidR="00D56E7D" w:rsidRPr="00AD1496">
        <w:rPr>
          <w:rFonts w:asciiTheme="majorHAnsi" w:hAnsiTheme="majorHAnsi" w:cstheme="majorHAnsi"/>
        </w:rPr>
        <w:t xml:space="preserve">Department of </w:t>
      </w:r>
      <w:r w:rsidR="00562090" w:rsidRPr="00AD1496">
        <w:rPr>
          <w:rFonts w:asciiTheme="majorHAnsi" w:hAnsiTheme="majorHAnsi" w:cstheme="majorHAnsi"/>
        </w:rPr>
        <w:t xml:space="preserve">the </w:t>
      </w:r>
      <w:r w:rsidR="00710AB1" w:rsidRPr="00AD1496">
        <w:rPr>
          <w:rFonts w:asciiTheme="majorHAnsi" w:hAnsiTheme="majorHAnsi" w:cstheme="majorHAnsi"/>
        </w:rPr>
        <w:t xml:space="preserve">Environment </w:t>
      </w:r>
      <w:r w:rsidR="00D56E7D" w:rsidRPr="00AD1496">
        <w:rPr>
          <w:rFonts w:asciiTheme="majorHAnsi" w:hAnsiTheme="majorHAnsi" w:cstheme="majorHAnsi"/>
        </w:rPr>
        <w:t xml:space="preserve">with supporting advice provided by </w:t>
      </w:r>
      <w:r w:rsidR="00562090" w:rsidRPr="00AD1496">
        <w:rPr>
          <w:rFonts w:asciiTheme="majorHAnsi" w:hAnsiTheme="majorHAnsi" w:cstheme="majorHAnsi"/>
        </w:rPr>
        <w:t xml:space="preserve">the </w:t>
      </w:r>
      <w:r w:rsidR="00D56E7D" w:rsidRPr="00AD1496">
        <w:rPr>
          <w:rFonts w:asciiTheme="majorHAnsi" w:hAnsiTheme="majorHAnsi" w:cstheme="majorHAnsi"/>
        </w:rPr>
        <w:t xml:space="preserve">CEWO and </w:t>
      </w:r>
      <w:r w:rsidR="00710AB1" w:rsidRPr="00AD1496">
        <w:rPr>
          <w:rFonts w:asciiTheme="majorHAnsi" w:hAnsiTheme="majorHAnsi" w:cstheme="majorHAnsi"/>
        </w:rPr>
        <w:t>MDBA</w:t>
      </w:r>
      <w:r w:rsidR="00D56E7D" w:rsidRPr="00AD1496">
        <w:rPr>
          <w:rFonts w:asciiTheme="majorHAnsi" w:hAnsiTheme="majorHAnsi" w:cstheme="majorHAnsi"/>
        </w:rPr>
        <w:t>.</w:t>
      </w:r>
      <w:r w:rsidR="00710AB1" w:rsidRPr="00AD1496">
        <w:rPr>
          <w:rFonts w:asciiTheme="majorHAnsi" w:hAnsiTheme="majorHAnsi" w:cstheme="majorHAnsi"/>
        </w:rPr>
        <w:t xml:space="preserve"> This assessment function is currently managed by the Department of Agriculture.</w:t>
      </w:r>
      <w:r w:rsidR="003B38CB" w:rsidRPr="00AD1496">
        <w:rPr>
          <w:rFonts w:asciiTheme="majorHAnsi" w:hAnsiTheme="majorHAnsi" w:cstheme="majorHAnsi"/>
        </w:rPr>
        <w:t xml:space="preserve"> </w:t>
      </w:r>
      <w:r w:rsidR="00710AB1" w:rsidRPr="00AD1496">
        <w:rPr>
          <w:rFonts w:asciiTheme="majorHAnsi" w:hAnsiTheme="majorHAnsi" w:cstheme="majorHAnsi"/>
        </w:rPr>
        <w:t xml:space="preserve">These changes </w:t>
      </w:r>
      <w:r w:rsidRPr="00AD1496">
        <w:rPr>
          <w:rFonts w:asciiTheme="majorHAnsi" w:hAnsiTheme="majorHAnsi" w:cstheme="majorHAnsi"/>
        </w:rPr>
        <w:t xml:space="preserve">removed the capacity for </w:t>
      </w:r>
      <w:r w:rsidR="00A701E1" w:rsidRPr="00AD1496">
        <w:rPr>
          <w:rFonts w:asciiTheme="majorHAnsi" w:hAnsiTheme="majorHAnsi" w:cstheme="majorHAnsi"/>
        </w:rPr>
        <w:t>third-party</w:t>
      </w:r>
      <w:r w:rsidRPr="00AD1496">
        <w:rPr>
          <w:rFonts w:asciiTheme="majorHAnsi" w:hAnsiTheme="majorHAnsi" w:cstheme="majorHAnsi"/>
        </w:rPr>
        <w:t xml:space="preserve"> assessments, as was intended in the initial agreement</w:t>
      </w:r>
      <w:r w:rsidR="00A701E1" w:rsidRPr="00AD1496">
        <w:rPr>
          <w:rFonts w:asciiTheme="majorHAnsi" w:hAnsiTheme="majorHAnsi" w:cstheme="majorHAnsi"/>
        </w:rPr>
        <w:t>.</w:t>
      </w:r>
      <w:r w:rsidR="005C6923" w:rsidRPr="00AD1496">
        <w:rPr>
          <w:rStyle w:val="FootnoteReference"/>
          <w:rFonts w:asciiTheme="majorHAnsi" w:hAnsiTheme="majorHAnsi" w:cstheme="majorHAnsi"/>
        </w:rPr>
        <w:footnoteReference w:id="7"/>
      </w:r>
    </w:p>
    <w:p w14:paraId="4DAAEE11" w14:textId="57CF2B26" w:rsidR="00614E10" w:rsidRPr="00AD1496" w:rsidRDefault="009B1F38" w:rsidP="00E70FA8">
      <w:pPr>
        <w:rPr>
          <w:rFonts w:asciiTheme="majorHAnsi" w:hAnsiTheme="majorHAnsi" w:cstheme="majorHAnsi"/>
        </w:rPr>
      </w:pPr>
      <w:r w:rsidRPr="00AD1496">
        <w:rPr>
          <w:rFonts w:asciiTheme="majorHAnsi" w:hAnsiTheme="majorHAnsi" w:cstheme="majorHAnsi"/>
        </w:rPr>
        <w:lastRenderedPageBreak/>
        <w:t>It appears there is</w:t>
      </w:r>
      <w:r w:rsidR="005C6923" w:rsidRPr="00AD1496">
        <w:rPr>
          <w:rFonts w:asciiTheme="majorHAnsi" w:hAnsiTheme="majorHAnsi" w:cstheme="majorHAnsi"/>
        </w:rPr>
        <w:t xml:space="preserve"> </w:t>
      </w:r>
      <w:r w:rsidRPr="00AD1496">
        <w:rPr>
          <w:rFonts w:asciiTheme="majorHAnsi" w:hAnsiTheme="majorHAnsi" w:cstheme="majorHAnsi"/>
        </w:rPr>
        <w:t xml:space="preserve">a level of </w:t>
      </w:r>
      <w:r w:rsidR="005C6923" w:rsidRPr="00AD1496">
        <w:rPr>
          <w:rFonts w:asciiTheme="majorHAnsi" w:hAnsiTheme="majorHAnsi" w:cstheme="majorHAnsi"/>
        </w:rPr>
        <w:t>confusion</w:t>
      </w:r>
      <w:r w:rsidR="00D00B6E" w:rsidRPr="00AD1496">
        <w:rPr>
          <w:rFonts w:asciiTheme="majorHAnsi" w:hAnsiTheme="majorHAnsi" w:cstheme="majorHAnsi"/>
        </w:rPr>
        <w:t xml:space="preserve"> amongst </w:t>
      </w:r>
      <w:r w:rsidRPr="00AD1496">
        <w:rPr>
          <w:rFonts w:asciiTheme="majorHAnsi" w:hAnsiTheme="majorHAnsi" w:cstheme="majorHAnsi"/>
        </w:rPr>
        <w:t xml:space="preserve">some </w:t>
      </w:r>
      <w:r w:rsidR="00D00B6E" w:rsidRPr="00AD1496">
        <w:rPr>
          <w:rFonts w:asciiTheme="majorHAnsi" w:hAnsiTheme="majorHAnsi" w:cstheme="majorHAnsi"/>
        </w:rPr>
        <w:t>State</w:t>
      </w:r>
      <w:r w:rsidRPr="00AD1496">
        <w:rPr>
          <w:rFonts w:asciiTheme="majorHAnsi" w:hAnsiTheme="majorHAnsi" w:cstheme="majorHAnsi"/>
        </w:rPr>
        <w:t xml:space="preserve"> </w:t>
      </w:r>
      <w:r w:rsidR="00D00B6E" w:rsidRPr="00AD1496">
        <w:rPr>
          <w:rFonts w:asciiTheme="majorHAnsi" w:hAnsiTheme="majorHAnsi" w:cstheme="majorHAnsi"/>
        </w:rPr>
        <w:t>s</w:t>
      </w:r>
      <w:r w:rsidRPr="00AD1496">
        <w:rPr>
          <w:rFonts w:asciiTheme="majorHAnsi" w:hAnsiTheme="majorHAnsi" w:cstheme="majorHAnsi"/>
        </w:rPr>
        <w:t>takeholders</w:t>
      </w:r>
      <w:r w:rsidR="00D00B6E" w:rsidRPr="00AD1496">
        <w:rPr>
          <w:rFonts w:asciiTheme="majorHAnsi" w:hAnsiTheme="majorHAnsi" w:cstheme="majorHAnsi"/>
        </w:rPr>
        <w:t xml:space="preserve"> </w:t>
      </w:r>
      <w:r w:rsidR="005C6923" w:rsidRPr="00AD1496">
        <w:rPr>
          <w:rFonts w:asciiTheme="majorHAnsi" w:hAnsiTheme="majorHAnsi" w:cstheme="majorHAnsi"/>
        </w:rPr>
        <w:t>about role</w:t>
      </w:r>
      <w:r w:rsidR="004A322C" w:rsidRPr="00AD1496">
        <w:rPr>
          <w:rFonts w:asciiTheme="majorHAnsi" w:hAnsiTheme="majorHAnsi" w:cstheme="majorHAnsi"/>
        </w:rPr>
        <w:t>s</w:t>
      </w:r>
      <w:r w:rsidR="005C6923" w:rsidRPr="00AD1496">
        <w:rPr>
          <w:rFonts w:asciiTheme="majorHAnsi" w:hAnsiTheme="majorHAnsi" w:cstheme="majorHAnsi"/>
        </w:rPr>
        <w:t xml:space="preserve"> and responsibilities under the </w:t>
      </w:r>
      <w:r w:rsidR="004A322C" w:rsidRPr="00AD1496">
        <w:rPr>
          <w:rFonts w:asciiTheme="majorHAnsi" w:hAnsiTheme="majorHAnsi" w:cstheme="majorHAnsi"/>
        </w:rPr>
        <w:t>NPA</w:t>
      </w:r>
      <w:r w:rsidR="005C6923" w:rsidRPr="00AD1496">
        <w:rPr>
          <w:rFonts w:asciiTheme="majorHAnsi" w:hAnsiTheme="majorHAnsi" w:cstheme="majorHAnsi"/>
        </w:rPr>
        <w:t>.</w:t>
      </w:r>
      <w:r w:rsidR="00E70FA8" w:rsidRPr="00AD1496">
        <w:rPr>
          <w:rFonts w:asciiTheme="majorHAnsi" w:hAnsiTheme="majorHAnsi" w:cstheme="majorHAnsi"/>
        </w:rPr>
        <w:t xml:space="preserve"> </w:t>
      </w:r>
      <w:r w:rsidRPr="00AD1496">
        <w:rPr>
          <w:rFonts w:asciiTheme="majorHAnsi" w:hAnsiTheme="majorHAnsi" w:cstheme="majorHAnsi"/>
        </w:rPr>
        <w:t xml:space="preserve">Some stakeholders </w:t>
      </w:r>
      <w:r w:rsidR="00E70FA8" w:rsidRPr="00AD1496">
        <w:rPr>
          <w:rFonts w:asciiTheme="majorHAnsi" w:hAnsiTheme="majorHAnsi" w:cstheme="majorHAnsi"/>
        </w:rPr>
        <w:t>indicated that this confusion is magnified by the multiple parallel processes involving Basin water policy, of which the NPA is only one, but which is explicitly and implicitly linked to others.</w:t>
      </w:r>
      <w:r w:rsidR="006062D8" w:rsidRPr="00AD1496">
        <w:rPr>
          <w:rFonts w:asciiTheme="majorHAnsi" w:hAnsiTheme="majorHAnsi" w:cstheme="majorHAnsi"/>
        </w:rPr>
        <w:t xml:space="preserve"> </w:t>
      </w:r>
    </w:p>
    <w:p w14:paraId="6398683C" w14:textId="2A69CFED" w:rsidR="00AC042F" w:rsidRPr="00AD1496" w:rsidRDefault="00E70FA8" w:rsidP="005C6923">
      <w:pPr>
        <w:rPr>
          <w:rFonts w:asciiTheme="majorHAnsi" w:hAnsiTheme="majorHAnsi" w:cstheme="majorHAnsi"/>
        </w:rPr>
      </w:pPr>
      <w:r w:rsidRPr="00AD1496">
        <w:rPr>
          <w:rFonts w:asciiTheme="majorHAnsi" w:hAnsiTheme="majorHAnsi" w:cstheme="majorHAnsi"/>
        </w:rPr>
        <w:t xml:space="preserve">Concerns were expressed that the Commonwealth agencies (CEWO, MDBA, and the Department) all have policy and operational responsibilities and are therefore party to the reforms and should not be assessing </w:t>
      </w:r>
      <w:r w:rsidR="004A322C" w:rsidRPr="00AD1496">
        <w:rPr>
          <w:rFonts w:asciiTheme="majorHAnsi" w:hAnsiTheme="majorHAnsi" w:cstheme="majorHAnsi"/>
        </w:rPr>
        <w:t>Basin State</w:t>
      </w:r>
      <w:r w:rsidRPr="00AD1496">
        <w:rPr>
          <w:rFonts w:asciiTheme="majorHAnsi" w:hAnsiTheme="majorHAnsi" w:cstheme="majorHAnsi"/>
        </w:rPr>
        <w:t xml:space="preserve"> progress. For example, the MDBA has both compliance and operational functions as pointed out by the recent </w:t>
      </w:r>
      <w:r w:rsidR="0042023E" w:rsidRPr="00AD1496">
        <w:rPr>
          <w:rFonts w:asciiTheme="majorHAnsi" w:hAnsiTheme="majorHAnsi" w:cstheme="majorHAnsi"/>
        </w:rPr>
        <w:t>PC</w:t>
      </w:r>
      <w:r w:rsidRPr="00AD1496">
        <w:rPr>
          <w:rFonts w:asciiTheme="majorHAnsi" w:hAnsiTheme="majorHAnsi" w:cstheme="majorHAnsi"/>
        </w:rPr>
        <w:t xml:space="preserve"> review</w:t>
      </w:r>
      <w:r w:rsidRPr="00AD1496">
        <w:rPr>
          <w:rFonts w:asciiTheme="majorHAnsi" w:hAnsiTheme="majorHAnsi" w:cstheme="majorHAnsi"/>
          <w:vertAlign w:val="superscript"/>
        </w:rPr>
        <w:footnoteReference w:id="8"/>
      </w:r>
      <w:r w:rsidRPr="00AD1496">
        <w:rPr>
          <w:rFonts w:asciiTheme="majorHAnsi" w:hAnsiTheme="majorHAnsi" w:cstheme="majorHAnsi"/>
        </w:rPr>
        <w:t xml:space="preserve">. </w:t>
      </w:r>
      <w:r w:rsidR="005C6923" w:rsidRPr="00AD1496">
        <w:rPr>
          <w:rFonts w:asciiTheme="majorHAnsi" w:hAnsiTheme="majorHAnsi" w:cstheme="majorHAnsi"/>
        </w:rPr>
        <w:t>Third party assessment of a future NPA’s milestones should also be considered.</w:t>
      </w:r>
      <w:r w:rsidR="00AC042F" w:rsidRPr="00AD1496">
        <w:rPr>
          <w:rFonts w:asciiTheme="majorHAnsi" w:hAnsiTheme="majorHAnsi" w:cstheme="majorHAnsi"/>
        </w:rPr>
        <w:t xml:space="preserve"> </w:t>
      </w:r>
    </w:p>
    <w:p w14:paraId="1066AB76" w14:textId="77777777" w:rsidR="00F65218" w:rsidRPr="00AD1496" w:rsidRDefault="00F65218" w:rsidP="00F65218">
      <w:pPr>
        <w:rPr>
          <w:rFonts w:asciiTheme="majorHAnsi" w:hAnsiTheme="majorHAnsi" w:cstheme="majorHAnsi"/>
        </w:rPr>
      </w:pPr>
      <w:r w:rsidRPr="00AD1496">
        <w:rPr>
          <w:rFonts w:asciiTheme="majorHAnsi" w:hAnsiTheme="majorHAnsi" w:cstheme="majorHAnsi"/>
        </w:rPr>
        <w:t xml:space="preserve">Of the stakeholders interviewed, many outlined that extensive staff turnover within State water agencies had resulted </w:t>
      </w:r>
      <w:r w:rsidRPr="00AD1496">
        <w:rPr>
          <w:rFonts w:asciiTheme="majorHAnsi" w:hAnsiTheme="majorHAnsi" w:cstheme="majorHAnsi"/>
        </w:rPr>
        <w:lastRenderedPageBreak/>
        <w:t>in a loss of professional continuity and organisational memory so NPA documentation became critically important in terms of defining scope, standards and outcomes. However, some stakeholders had been involved in the NPA since its inception or had come back to a role that involved it.</w:t>
      </w:r>
    </w:p>
    <w:p w14:paraId="46D9E316" w14:textId="2F1B5A35" w:rsidR="00D4233D" w:rsidRPr="00AD1496" w:rsidRDefault="00995415" w:rsidP="00512C05">
      <w:pPr>
        <w:rPr>
          <w:rFonts w:asciiTheme="majorHAnsi" w:hAnsiTheme="majorHAnsi" w:cstheme="majorHAnsi"/>
        </w:rPr>
      </w:pPr>
      <w:r w:rsidRPr="00AD1496">
        <w:rPr>
          <w:rFonts w:asciiTheme="majorHAnsi" w:hAnsiTheme="majorHAnsi" w:cstheme="majorHAnsi"/>
        </w:rPr>
        <w:t xml:space="preserve">Of particular concern, the development of </w:t>
      </w:r>
      <w:r w:rsidR="005C6923" w:rsidRPr="00AD1496">
        <w:rPr>
          <w:rFonts w:asciiTheme="majorHAnsi" w:hAnsiTheme="majorHAnsi" w:cstheme="majorHAnsi"/>
        </w:rPr>
        <w:t xml:space="preserve">Water Resource Plans (WRPs) </w:t>
      </w:r>
      <w:r w:rsidR="000E061B" w:rsidRPr="00AD1496">
        <w:rPr>
          <w:rFonts w:asciiTheme="majorHAnsi" w:hAnsiTheme="majorHAnsi" w:cstheme="majorHAnsi"/>
        </w:rPr>
        <w:t>has been</w:t>
      </w:r>
      <w:r w:rsidR="005C6923" w:rsidRPr="00AD1496">
        <w:rPr>
          <w:rFonts w:asciiTheme="majorHAnsi" w:hAnsiTheme="majorHAnsi" w:cstheme="majorHAnsi"/>
        </w:rPr>
        <w:t xml:space="preserve"> a long and complex task</w:t>
      </w:r>
      <w:r w:rsidR="00D4233D" w:rsidRPr="00AD1496">
        <w:rPr>
          <w:rFonts w:asciiTheme="majorHAnsi" w:hAnsiTheme="majorHAnsi" w:cstheme="majorHAnsi"/>
        </w:rPr>
        <w:t xml:space="preserve">. Issues </w:t>
      </w:r>
      <w:r w:rsidR="001E6804">
        <w:rPr>
          <w:rFonts w:asciiTheme="majorHAnsi" w:hAnsiTheme="majorHAnsi" w:cstheme="majorHAnsi"/>
        </w:rPr>
        <w:t>reported by the States</w:t>
      </w:r>
      <w:r w:rsidR="00D4233D" w:rsidRPr="00AD1496">
        <w:rPr>
          <w:rFonts w:asciiTheme="majorHAnsi" w:hAnsiTheme="majorHAnsi" w:cstheme="majorHAnsi"/>
        </w:rPr>
        <w:t xml:space="preserve"> included:</w:t>
      </w:r>
    </w:p>
    <w:p w14:paraId="319C98C2" w14:textId="2E05B72A" w:rsidR="00D4233D" w:rsidRPr="00AD1496" w:rsidRDefault="00F55DB4" w:rsidP="00D4233D">
      <w:pPr>
        <w:pStyle w:val="ListBullet"/>
        <w:rPr>
          <w:rFonts w:asciiTheme="majorHAnsi" w:hAnsiTheme="majorHAnsi" w:cstheme="majorHAnsi"/>
        </w:rPr>
      </w:pPr>
      <w:r>
        <w:rPr>
          <w:rFonts w:asciiTheme="majorHAnsi" w:hAnsiTheme="majorHAnsi" w:cstheme="majorHAnsi"/>
        </w:rPr>
        <w:t>some States n</w:t>
      </w:r>
      <w:r w:rsidR="00D4233D" w:rsidRPr="00AD1496">
        <w:rPr>
          <w:rFonts w:asciiTheme="majorHAnsi" w:hAnsiTheme="majorHAnsi" w:cstheme="majorHAnsi"/>
        </w:rPr>
        <w:t xml:space="preserve">ot having the expertise </w:t>
      </w:r>
      <w:r>
        <w:rPr>
          <w:rFonts w:asciiTheme="majorHAnsi" w:hAnsiTheme="majorHAnsi" w:cstheme="majorHAnsi"/>
        </w:rPr>
        <w:t xml:space="preserve">available </w:t>
      </w:r>
      <w:r w:rsidR="00D4233D" w:rsidRPr="00AD1496">
        <w:rPr>
          <w:rFonts w:asciiTheme="majorHAnsi" w:hAnsiTheme="majorHAnsi" w:cstheme="majorHAnsi"/>
        </w:rPr>
        <w:t>to implement the reforms, despite the NPA funding being intended for this purpose</w:t>
      </w:r>
      <w:r w:rsidR="005D1B1E">
        <w:rPr>
          <w:rFonts w:asciiTheme="majorHAnsi" w:hAnsiTheme="majorHAnsi" w:cstheme="majorHAnsi"/>
        </w:rPr>
        <w:t>.</w:t>
      </w:r>
    </w:p>
    <w:p w14:paraId="2B63B924" w14:textId="7CB962BA" w:rsidR="00D4233D" w:rsidRPr="00AD1496" w:rsidRDefault="00F55DB4" w:rsidP="00D4233D">
      <w:pPr>
        <w:pStyle w:val="ListBullet"/>
        <w:rPr>
          <w:rFonts w:asciiTheme="majorHAnsi" w:hAnsiTheme="majorHAnsi" w:cstheme="majorHAnsi"/>
        </w:rPr>
      </w:pPr>
      <w:r>
        <w:rPr>
          <w:rFonts w:asciiTheme="majorHAnsi" w:hAnsiTheme="majorHAnsi" w:cstheme="majorHAnsi"/>
        </w:rPr>
        <w:t xml:space="preserve">the </w:t>
      </w:r>
      <w:r w:rsidR="00D4233D" w:rsidRPr="00AD1496">
        <w:rPr>
          <w:rFonts w:asciiTheme="majorHAnsi" w:hAnsiTheme="majorHAnsi" w:cstheme="majorHAnsi"/>
        </w:rPr>
        <w:t xml:space="preserve">MDBA </w:t>
      </w:r>
      <w:r w:rsidR="001E6804">
        <w:rPr>
          <w:rFonts w:asciiTheme="majorHAnsi" w:hAnsiTheme="majorHAnsi" w:cstheme="majorHAnsi"/>
        </w:rPr>
        <w:t xml:space="preserve">and Basin States </w:t>
      </w:r>
      <w:r w:rsidR="00D4233D" w:rsidRPr="00AD1496">
        <w:rPr>
          <w:rFonts w:asciiTheme="majorHAnsi" w:hAnsiTheme="majorHAnsi" w:cstheme="majorHAnsi"/>
        </w:rPr>
        <w:t xml:space="preserve">developing guidance material in parallel </w:t>
      </w:r>
      <w:r>
        <w:rPr>
          <w:rFonts w:asciiTheme="majorHAnsi" w:hAnsiTheme="majorHAnsi" w:cstheme="majorHAnsi"/>
        </w:rPr>
        <w:t>during preparation of</w:t>
      </w:r>
      <w:r w:rsidR="00D4233D" w:rsidRPr="00AD1496">
        <w:rPr>
          <w:rFonts w:asciiTheme="majorHAnsi" w:hAnsiTheme="majorHAnsi" w:cstheme="majorHAnsi"/>
        </w:rPr>
        <w:t xml:space="preserve"> WRPs. In some cases guidance material changed or was not finalised until after Basin States had made significant progress on developing their WRPs. This led to inefficiencies and difficulties in meeting timelines to develop WRPs that met MDBA requirements.</w:t>
      </w:r>
    </w:p>
    <w:p w14:paraId="1F232759" w14:textId="77777777" w:rsidR="00FE2F30" w:rsidRDefault="00F55DB4" w:rsidP="0092270A">
      <w:pPr>
        <w:pStyle w:val="ListBullet"/>
        <w:rPr>
          <w:rFonts w:asciiTheme="majorHAnsi" w:hAnsiTheme="majorHAnsi" w:cstheme="majorHAnsi"/>
        </w:rPr>
      </w:pPr>
      <w:r w:rsidRPr="00FE2F30">
        <w:rPr>
          <w:rFonts w:asciiTheme="majorHAnsi" w:hAnsiTheme="majorHAnsi" w:cstheme="majorHAnsi"/>
        </w:rPr>
        <w:lastRenderedPageBreak/>
        <w:t>c</w:t>
      </w:r>
      <w:r w:rsidR="00F56F18" w:rsidRPr="00FE2F30">
        <w:rPr>
          <w:rFonts w:asciiTheme="majorHAnsi" w:hAnsiTheme="majorHAnsi" w:cstheme="majorHAnsi"/>
        </w:rPr>
        <w:t xml:space="preserve">hallenges faced by Basin States to meet some of their milestones and WRP deadlines due to </w:t>
      </w:r>
      <w:r w:rsidRPr="00FE2F30">
        <w:rPr>
          <w:rFonts w:asciiTheme="majorHAnsi" w:hAnsiTheme="majorHAnsi" w:cstheme="majorHAnsi"/>
        </w:rPr>
        <w:t xml:space="preserve">the </w:t>
      </w:r>
      <w:r w:rsidR="00F56F18" w:rsidRPr="00FE2F30">
        <w:rPr>
          <w:rFonts w:asciiTheme="majorHAnsi" w:hAnsiTheme="majorHAnsi" w:cstheme="majorHAnsi"/>
        </w:rPr>
        <w:t>MDBA not having clear deadlines for responding to drafts</w:t>
      </w:r>
      <w:r w:rsidR="005D1B1E" w:rsidRPr="00FE2F30">
        <w:rPr>
          <w:rFonts w:asciiTheme="majorHAnsi" w:hAnsiTheme="majorHAnsi" w:cstheme="majorHAnsi"/>
        </w:rPr>
        <w:t xml:space="preserve"> or </w:t>
      </w:r>
      <w:r w:rsidR="00F56F18" w:rsidRPr="00FE2F30">
        <w:rPr>
          <w:rFonts w:asciiTheme="majorHAnsi" w:hAnsiTheme="majorHAnsi" w:cstheme="majorHAnsi"/>
        </w:rPr>
        <w:t>request</w:t>
      </w:r>
      <w:r w:rsidRPr="00FE2F30">
        <w:rPr>
          <w:rFonts w:asciiTheme="majorHAnsi" w:hAnsiTheme="majorHAnsi" w:cstheme="majorHAnsi"/>
        </w:rPr>
        <w:t>s</w:t>
      </w:r>
      <w:r w:rsidR="00F56F18" w:rsidRPr="00FE2F30">
        <w:rPr>
          <w:rFonts w:asciiTheme="majorHAnsi" w:hAnsiTheme="majorHAnsi" w:cstheme="majorHAnsi"/>
        </w:rPr>
        <w:t xml:space="preserve"> for advice.</w:t>
      </w:r>
    </w:p>
    <w:p w14:paraId="2C5F6804" w14:textId="22A93376" w:rsidR="00AE13A9" w:rsidRPr="00FE2F30" w:rsidRDefault="004C3016" w:rsidP="0092270A">
      <w:pPr>
        <w:pStyle w:val="ListBullet"/>
        <w:rPr>
          <w:rFonts w:asciiTheme="majorHAnsi" w:hAnsiTheme="majorHAnsi" w:cstheme="majorHAnsi"/>
        </w:rPr>
      </w:pPr>
      <w:r w:rsidRPr="00FE2F30">
        <w:rPr>
          <w:rFonts w:asciiTheme="majorHAnsi" w:hAnsiTheme="majorHAnsi" w:cstheme="majorHAnsi"/>
        </w:rPr>
        <w:t>c</w:t>
      </w:r>
      <w:r w:rsidR="00614E10" w:rsidRPr="00FE2F30">
        <w:rPr>
          <w:rFonts w:asciiTheme="majorHAnsi" w:hAnsiTheme="majorHAnsi" w:cstheme="majorHAnsi"/>
        </w:rPr>
        <w:t>ontinuity of staffing has generally been difficult over the period of the NPA</w:t>
      </w:r>
      <w:r w:rsidR="005C6923" w:rsidRPr="00FE2F30">
        <w:rPr>
          <w:rFonts w:asciiTheme="majorHAnsi" w:hAnsiTheme="majorHAnsi" w:cstheme="majorHAnsi"/>
        </w:rPr>
        <w:t xml:space="preserve"> and has hindered development of </w:t>
      </w:r>
      <w:r w:rsidR="00614E10" w:rsidRPr="00FE2F30">
        <w:rPr>
          <w:rFonts w:asciiTheme="majorHAnsi" w:hAnsiTheme="majorHAnsi" w:cstheme="majorHAnsi"/>
        </w:rPr>
        <w:t>WRPs</w:t>
      </w:r>
      <w:r w:rsidR="000E061B" w:rsidRPr="00FE2F30">
        <w:rPr>
          <w:rFonts w:asciiTheme="majorHAnsi" w:hAnsiTheme="majorHAnsi" w:cstheme="majorHAnsi"/>
        </w:rPr>
        <w:t xml:space="preserve"> and other </w:t>
      </w:r>
      <w:r w:rsidR="00014161" w:rsidRPr="00FE2F30">
        <w:rPr>
          <w:rFonts w:asciiTheme="majorHAnsi" w:hAnsiTheme="majorHAnsi" w:cstheme="majorHAnsi"/>
        </w:rPr>
        <w:t>initiatives</w:t>
      </w:r>
      <w:r w:rsidR="005C6923" w:rsidRPr="00FE2F30">
        <w:rPr>
          <w:rFonts w:asciiTheme="majorHAnsi" w:hAnsiTheme="majorHAnsi" w:cstheme="majorHAnsi"/>
        </w:rPr>
        <w:t>.</w:t>
      </w:r>
      <w:r w:rsidR="007F4EF0" w:rsidRPr="00FE2F30">
        <w:rPr>
          <w:rFonts w:asciiTheme="majorHAnsi" w:hAnsiTheme="majorHAnsi" w:cstheme="majorHAnsi"/>
        </w:rPr>
        <w:t xml:space="preserve"> Basin States will need to consider how they will maintain key staff to complete implementation when funding ends in June. </w:t>
      </w:r>
    </w:p>
    <w:p w14:paraId="1F45E52B" w14:textId="4D731CF8" w:rsidR="00472BC3" w:rsidRPr="00AD1496" w:rsidRDefault="00E02829" w:rsidP="00F91A85">
      <w:pPr>
        <w:pStyle w:val="Heading3"/>
        <w:rPr>
          <w:rFonts w:asciiTheme="majorHAnsi" w:hAnsiTheme="majorHAnsi" w:cstheme="majorHAnsi"/>
        </w:rPr>
      </w:pPr>
      <w:bookmarkStart w:id="48" w:name="_Ref18938263"/>
      <w:r w:rsidRPr="00AD1496">
        <w:rPr>
          <w:rFonts w:asciiTheme="majorHAnsi" w:hAnsiTheme="majorHAnsi" w:cstheme="majorHAnsi"/>
        </w:rPr>
        <w:t>Q</w:t>
      </w:r>
      <w:r w:rsidR="00472BC3" w:rsidRPr="00AD1496">
        <w:rPr>
          <w:rFonts w:asciiTheme="majorHAnsi" w:hAnsiTheme="majorHAnsi" w:cstheme="majorHAnsi"/>
        </w:rPr>
        <w:t>uality, timeliness, accuracy and suitability of performance reporting and assessment arrangements</w:t>
      </w:r>
      <w:r w:rsidR="00D44B6B" w:rsidRPr="00AD1496">
        <w:rPr>
          <w:rFonts w:asciiTheme="majorHAnsi" w:hAnsiTheme="majorHAnsi" w:cstheme="majorHAnsi"/>
        </w:rPr>
        <w:t>, including the adequacy of performance indicators in measuring achievement of NPA outcomes</w:t>
      </w:r>
      <w:bookmarkEnd w:id="48"/>
    </w:p>
    <w:p w14:paraId="6532239E" w14:textId="743A7A33" w:rsidR="008D5FCE" w:rsidRPr="00AD1496" w:rsidRDefault="0059633B" w:rsidP="008D5FCE">
      <w:pPr>
        <w:rPr>
          <w:rFonts w:asciiTheme="majorHAnsi" w:hAnsiTheme="majorHAnsi" w:cstheme="majorHAnsi"/>
        </w:rPr>
      </w:pPr>
      <w:r w:rsidRPr="00AD1496">
        <w:rPr>
          <w:rFonts w:asciiTheme="majorHAnsi" w:hAnsiTheme="majorHAnsi" w:cstheme="majorHAnsi"/>
        </w:rPr>
        <w:t>This section outlines how the NPA performs against t</w:t>
      </w:r>
      <w:r w:rsidR="008D5FCE" w:rsidRPr="00AD1496">
        <w:rPr>
          <w:rFonts w:asciiTheme="majorHAnsi" w:hAnsiTheme="majorHAnsi" w:cstheme="majorHAnsi"/>
        </w:rPr>
        <w:t>he Intergovernmental Agreement on Federal Financial Relations</w:t>
      </w:r>
      <w:r w:rsidRPr="00AD1496">
        <w:rPr>
          <w:rFonts w:asciiTheme="majorHAnsi" w:hAnsiTheme="majorHAnsi" w:cstheme="majorHAnsi"/>
        </w:rPr>
        <w:t>’</w:t>
      </w:r>
      <w:r w:rsidR="008D5FCE" w:rsidRPr="00AD1496">
        <w:rPr>
          <w:rFonts w:asciiTheme="majorHAnsi" w:hAnsiTheme="majorHAnsi" w:cstheme="majorHAnsi"/>
        </w:rPr>
        <w:t xml:space="preserve"> </w:t>
      </w:r>
      <w:r w:rsidR="008D5FCE" w:rsidRPr="00AD1496">
        <w:rPr>
          <w:rFonts w:asciiTheme="majorHAnsi" w:hAnsiTheme="majorHAnsi" w:cstheme="majorHAnsi"/>
        </w:rPr>
        <w:lastRenderedPageBreak/>
        <w:t>(IGAFFR)</w:t>
      </w:r>
      <w:r w:rsidR="008D5FCE" w:rsidRPr="00AD1496">
        <w:rPr>
          <w:rStyle w:val="FootnoteReference"/>
          <w:rFonts w:asciiTheme="majorHAnsi" w:hAnsiTheme="majorHAnsi" w:cstheme="majorHAnsi"/>
        </w:rPr>
        <w:footnoteReference w:id="9"/>
      </w:r>
      <w:r w:rsidR="008D5FCE" w:rsidRPr="00AD1496">
        <w:rPr>
          <w:rFonts w:asciiTheme="majorHAnsi" w:hAnsiTheme="majorHAnsi" w:cstheme="majorHAnsi"/>
        </w:rPr>
        <w:t xml:space="preserve"> </w:t>
      </w:r>
      <w:r w:rsidRPr="00AD1496">
        <w:rPr>
          <w:rFonts w:asciiTheme="majorHAnsi" w:hAnsiTheme="majorHAnsi" w:cstheme="majorHAnsi"/>
        </w:rPr>
        <w:t xml:space="preserve">principles for </w:t>
      </w:r>
      <w:r w:rsidR="001F5785" w:rsidRPr="00AD1496">
        <w:rPr>
          <w:rFonts w:asciiTheme="majorHAnsi" w:hAnsiTheme="majorHAnsi" w:cstheme="majorHAnsi"/>
        </w:rPr>
        <w:t>best practice</w:t>
      </w:r>
      <w:r w:rsidR="008D5FCE" w:rsidRPr="00AD1496">
        <w:rPr>
          <w:rFonts w:asciiTheme="majorHAnsi" w:hAnsiTheme="majorHAnsi" w:cstheme="majorHAnsi"/>
        </w:rPr>
        <w:t xml:space="preserve"> </w:t>
      </w:r>
      <w:r w:rsidRPr="00AD1496">
        <w:rPr>
          <w:rFonts w:asciiTheme="majorHAnsi" w:hAnsiTheme="majorHAnsi" w:cstheme="majorHAnsi"/>
        </w:rPr>
        <w:t xml:space="preserve">when designing </w:t>
      </w:r>
      <w:r w:rsidR="008D5FCE" w:rsidRPr="00AD1496">
        <w:rPr>
          <w:rFonts w:asciiTheme="majorHAnsi" w:hAnsiTheme="majorHAnsi" w:cstheme="majorHAnsi"/>
        </w:rPr>
        <w:t xml:space="preserve">NPAs. </w:t>
      </w:r>
      <w:r w:rsidR="00731C8C" w:rsidRPr="00AD1496">
        <w:rPr>
          <w:rFonts w:asciiTheme="majorHAnsi" w:hAnsiTheme="majorHAnsi" w:cstheme="majorHAnsi"/>
        </w:rPr>
        <w:t xml:space="preserve">This analysis is set out in more detail in Appendix 2. </w:t>
      </w:r>
      <w:r w:rsidR="008D5FCE" w:rsidRPr="00AD1496">
        <w:rPr>
          <w:rFonts w:asciiTheme="majorHAnsi" w:hAnsiTheme="majorHAnsi" w:cstheme="majorHAnsi"/>
        </w:rPr>
        <w:t xml:space="preserve">The IGAFFR and supporting guidelines </w:t>
      </w:r>
      <w:r w:rsidR="00447056" w:rsidRPr="00AD1496">
        <w:rPr>
          <w:rFonts w:asciiTheme="majorHAnsi" w:hAnsiTheme="majorHAnsi" w:cstheme="majorHAnsi"/>
        </w:rPr>
        <w:t>are intended to</w:t>
      </w:r>
      <w:r w:rsidR="008D5FCE" w:rsidRPr="00AD1496">
        <w:rPr>
          <w:rFonts w:asciiTheme="majorHAnsi" w:hAnsiTheme="majorHAnsi" w:cstheme="majorHAnsi"/>
        </w:rPr>
        <w:t xml:space="preserve"> result in clearly articulated NPAs</w:t>
      </w:r>
      <w:r w:rsidR="00447056" w:rsidRPr="00AD1496">
        <w:rPr>
          <w:rFonts w:asciiTheme="majorHAnsi" w:hAnsiTheme="majorHAnsi" w:cstheme="majorHAnsi"/>
        </w:rPr>
        <w:t xml:space="preserve"> that </w:t>
      </w:r>
      <w:r w:rsidR="008D5FCE" w:rsidRPr="00AD1496">
        <w:rPr>
          <w:rFonts w:asciiTheme="majorHAnsi" w:hAnsiTheme="majorHAnsi" w:cstheme="majorHAnsi"/>
        </w:rPr>
        <w:t>suppor</w:t>
      </w:r>
      <w:r w:rsidR="00447056" w:rsidRPr="00AD1496">
        <w:rPr>
          <w:rFonts w:asciiTheme="majorHAnsi" w:hAnsiTheme="majorHAnsi" w:cstheme="majorHAnsi"/>
        </w:rPr>
        <w:t xml:space="preserve">t </w:t>
      </w:r>
      <w:r w:rsidR="008D5FCE" w:rsidRPr="00AD1496">
        <w:rPr>
          <w:rFonts w:asciiTheme="majorHAnsi" w:hAnsiTheme="majorHAnsi" w:cstheme="majorHAnsi"/>
        </w:rPr>
        <w:t>the achievement of NPA objectives.</w:t>
      </w:r>
      <w:r w:rsidR="00731C8C" w:rsidRPr="00AD1496">
        <w:rPr>
          <w:rFonts w:asciiTheme="majorHAnsi" w:hAnsiTheme="majorHAnsi" w:cstheme="majorHAnsi"/>
        </w:rPr>
        <w:t xml:space="preserve"> </w:t>
      </w:r>
    </w:p>
    <w:p w14:paraId="6C8B620D" w14:textId="5C33BAE5" w:rsidR="00892B3E" w:rsidRPr="00AD1496" w:rsidRDefault="00447056" w:rsidP="008D5FCE">
      <w:pPr>
        <w:rPr>
          <w:rFonts w:asciiTheme="majorHAnsi" w:hAnsiTheme="majorHAnsi" w:cstheme="majorHAnsi"/>
        </w:rPr>
      </w:pPr>
      <w:r w:rsidRPr="00AD1496">
        <w:rPr>
          <w:rFonts w:asciiTheme="majorHAnsi" w:hAnsiTheme="majorHAnsi" w:cstheme="majorHAnsi"/>
        </w:rPr>
        <w:t>The NPA is consistent with some, but not all</w:t>
      </w:r>
      <w:r w:rsidR="00C46B2C" w:rsidRPr="00AD1496">
        <w:rPr>
          <w:rFonts w:asciiTheme="majorHAnsi" w:hAnsiTheme="majorHAnsi" w:cstheme="majorHAnsi"/>
        </w:rPr>
        <w:t xml:space="preserve">, </w:t>
      </w:r>
      <w:r w:rsidRPr="00AD1496">
        <w:rPr>
          <w:rFonts w:asciiTheme="majorHAnsi" w:hAnsiTheme="majorHAnsi" w:cstheme="majorHAnsi"/>
        </w:rPr>
        <w:t>of the IGAFFR principles</w:t>
      </w:r>
      <w:r w:rsidR="003332AA" w:rsidRPr="00AD1496">
        <w:rPr>
          <w:rFonts w:asciiTheme="majorHAnsi" w:hAnsiTheme="majorHAnsi" w:cstheme="majorHAnsi"/>
        </w:rPr>
        <w:t xml:space="preserve">. </w:t>
      </w:r>
    </w:p>
    <w:p w14:paraId="7418A953" w14:textId="77777777" w:rsidR="0059633B" w:rsidRPr="00AD1496" w:rsidRDefault="0059633B" w:rsidP="00AD6387">
      <w:pPr>
        <w:pStyle w:val="TableHeading"/>
        <w:keepNext/>
        <w:rPr>
          <w:rFonts w:asciiTheme="majorHAnsi" w:hAnsiTheme="majorHAnsi" w:cstheme="majorHAnsi"/>
        </w:rPr>
      </w:pPr>
      <w:bookmarkStart w:id="49" w:name="_Ref18667400"/>
      <w:r w:rsidRPr="00AD1496">
        <w:rPr>
          <w:rFonts w:asciiTheme="majorHAnsi" w:hAnsiTheme="majorHAnsi" w:cstheme="majorHAnsi"/>
        </w:rPr>
        <w:t>IGAFFR principles with which the NPA is consistent</w:t>
      </w:r>
      <w:bookmarkEnd w:id="49"/>
    </w:p>
    <w:tbl>
      <w:tblPr>
        <w:tblStyle w:val="ARTDTable"/>
        <w:tblW w:w="0" w:type="auto"/>
        <w:tblLook w:val="04A0" w:firstRow="1" w:lastRow="0" w:firstColumn="1" w:lastColumn="0" w:noHBand="0" w:noVBand="1"/>
      </w:tblPr>
      <w:tblGrid>
        <w:gridCol w:w="435"/>
        <w:gridCol w:w="1776"/>
        <w:gridCol w:w="1134"/>
        <w:gridCol w:w="1560"/>
        <w:gridCol w:w="4108"/>
      </w:tblGrid>
      <w:tr w:rsidR="0059633B" w:rsidRPr="00AD1496" w14:paraId="5EE030C4" w14:textId="77777777" w:rsidTr="0059633B">
        <w:trPr>
          <w:cnfStyle w:val="100000000000" w:firstRow="1" w:lastRow="0" w:firstColumn="0" w:lastColumn="0" w:oddVBand="0" w:evenVBand="0" w:oddHBand="0" w:evenHBand="0" w:firstRowFirstColumn="0" w:firstRowLastColumn="0" w:lastRowFirstColumn="0" w:lastRowLastColumn="0"/>
        </w:trPr>
        <w:tc>
          <w:tcPr>
            <w:tcW w:w="435" w:type="dxa"/>
          </w:tcPr>
          <w:p w14:paraId="7124BFC6" w14:textId="77777777" w:rsidR="0059633B" w:rsidRPr="00AD1496" w:rsidRDefault="0059633B" w:rsidP="00AD6387">
            <w:pPr>
              <w:pStyle w:val="Tablecolumnheading"/>
              <w:keepNext/>
              <w:rPr>
                <w:rFonts w:asciiTheme="majorHAnsi" w:hAnsiTheme="majorHAnsi" w:cstheme="majorHAnsi"/>
                <w:szCs w:val="20"/>
              </w:rPr>
            </w:pPr>
          </w:p>
        </w:tc>
        <w:tc>
          <w:tcPr>
            <w:tcW w:w="1776" w:type="dxa"/>
          </w:tcPr>
          <w:p w14:paraId="29DDFB0E" w14:textId="77777777" w:rsidR="0059633B" w:rsidRPr="00AD1496" w:rsidRDefault="0059633B" w:rsidP="00AD6387">
            <w:pPr>
              <w:pStyle w:val="Tablecolumnheading"/>
              <w:keepNext/>
              <w:rPr>
                <w:rFonts w:asciiTheme="majorHAnsi" w:hAnsiTheme="majorHAnsi" w:cstheme="majorHAnsi"/>
                <w:szCs w:val="20"/>
              </w:rPr>
            </w:pPr>
            <w:r w:rsidRPr="00AD1496">
              <w:rPr>
                <w:rFonts w:asciiTheme="majorHAnsi" w:hAnsiTheme="majorHAnsi" w:cstheme="majorHAnsi"/>
                <w:szCs w:val="20"/>
              </w:rPr>
              <w:t>Principle in short</w:t>
            </w:r>
          </w:p>
        </w:tc>
        <w:tc>
          <w:tcPr>
            <w:tcW w:w="1134" w:type="dxa"/>
          </w:tcPr>
          <w:p w14:paraId="43F4FFC2" w14:textId="77777777" w:rsidR="0059633B" w:rsidRPr="00AD1496" w:rsidRDefault="0059633B" w:rsidP="00AD6387">
            <w:pPr>
              <w:pStyle w:val="Tablecolumnheading"/>
              <w:keepNext/>
              <w:rPr>
                <w:rFonts w:asciiTheme="majorHAnsi" w:hAnsiTheme="majorHAnsi" w:cstheme="majorHAnsi"/>
                <w:szCs w:val="20"/>
              </w:rPr>
            </w:pPr>
            <w:r w:rsidRPr="00AD1496">
              <w:rPr>
                <w:rFonts w:asciiTheme="majorHAnsi" w:hAnsiTheme="majorHAnsi" w:cstheme="majorHAnsi"/>
                <w:szCs w:val="20"/>
              </w:rPr>
              <w:t>Criteria</w:t>
            </w:r>
          </w:p>
        </w:tc>
        <w:tc>
          <w:tcPr>
            <w:tcW w:w="1560" w:type="dxa"/>
          </w:tcPr>
          <w:p w14:paraId="29048DBE" w14:textId="77777777" w:rsidR="0059633B" w:rsidRPr="00AD1496" w:rsidRDefault="0059633B" w:rsidP="00AD6387">
            <w:pPr>
              <w:pStyle w:val="Tablecolumnheading"/>
              <w:keepNext/>
              <w:rPr>
                <w:rFonts w:asciiTheme="majorHAnsi" w:hAnsiTheme="majorHAnsi" w:cstheme="majorHAnsi"/>
                <w:szCs w:val="20"/>
              </w:rPr>
            </w:pPr>
            <w:r w:rsidRPr="00AD1496">
              <w:rPr>
                <w:rFonts w:asciiTheme="majorHAnsi" w:hAnsiTheme="majorHAnsi" w:cstheme="majorHAnsi"/>
                <w:szCs w:val="20"/>
              </w:rPr>
              <w:t>Assessment</w:t>
            </w:r>
          </w:p>
        </w:tc>
        <w:tc>
          <w:tcPr>
            <w:tcW w:w="4108" w:type="dxa"/>
          </w:tcPr>
          <w:p w14:paraId="2EBE8AD1" w14:textId="77777777" w:rsidR="0059633B" w:rsidRPr="00AD1496" w:rsidRDefault="0059633B" w:rsidP="00AD6387">
            <w:pPr>
              <w:pStyle w:val="Tablecolumnheading"/>
              <w:keepNext/>
              <w:rPr>
                <w:rFonts w:asciiTheme="majorHAnsi" w:hAnsiTheme="majorHAnsi" w:cstheme="majorHAnsi"/>
                <w:szCs w:val="20"/>
              </w:rPr>
            </w:pPr>
            <w:r w:rsidRPr="00AD1496">
              <w:rPr>
                <w:rFonts w:asciiTheme="majorHAnsi" w:hAnsiTheme="majorHAnsi" w:cstheme="majorHAnsi"/>
                <w:szCs w:val="20"/>
              </w:rPr>
              <w:t>Comment</w:t>
            </w:r>
          </w:p>
        </w:tc>
      </w:tr>
      <w:tr w:rsidR="005E3BBD" w:rsidRPr="00AD1496" w14:paraId="4B6DA8EE" w14:textId="77777777" w:rsidTr="0059633B">
        <w:tc>
          <w:tcPr>
            <w:tcW w:w="435" w:type="dxa"/>
          </w:tcPr>
          <w:p w14:paraId="59BBBBEC" w14:textId="472C3FDF" w:rsidR="005E3BBD" w:rsidRPr="00AD1496" w:rsidRDefault="005E3BBD" w:rsidP="00AD6387">
            <w:pPr>
              <w:pStyle w:val="Tablebodytext"/>
              <w:keepNext/>
              <w:rPr>
                <w:rFonts w:asciiTheme="majorHAnsi" w:hAnsiTheme="majorHAnsi" w:cstheme="majorHAnsi"/>
                <w:sz w:val="18"/>
                <w:szCs w:val="18"/>
              </w:rPr>
            </w:pPr>
            <w:r w:rsidRPr="00AD1496">
              <w:rPr>
                <w:rFonts w:asciiTheme="majorHAnsi" w:hAnsiTheme="majorHAnsi" w:cstheme="majorHAnsi"/>
                <w:sz w:val="18"/>
                <w:szCs w:val="18"/>
              </w:rPr>
              <w:t>E21</w:t>
            </w:r>
          </w:p>
        </w:tc>
        <w:tc>
          <w:tcPr>
            <w:tcW w:w="1776" w:type="dxa"/>
          </w:tcPr>
          <w:p w14:paraId="12253C15" w14:textId="5229CFE8" w:rsidR="005E3BBD" w:rsidRPr="00AD1496" w:rsidRDefault="005E3BBD" w:rsidP="00A30A1B">
            <w:pPr>
              <w:pStyle w:val="Tablebodytext"/>
              <w:keepNext/>
              <w:rPr>
                <w:rFonts w:asciiTheme="majorHAnsi" w:hAnsiTheme="majorHAnsi" w:cstheme="majorHAnsi"/>
                <w:sz w:val="18"/>
                <w:szCs w:val="18"/>
              </w:rPr>
            </w:pPr>
            <w:r w:rsidRPr="00AD1496">
              <w:rPr>
                <w:rFonts w:asciiTheme="majorHAnsi" w:hAnsiTheme="majorHAnsi" w:cstheme="majorHAnsi"/>
                <w:sz w:val="18"/>
                <w:szCs w:val="18"/>
              </w:rPr>
              <w:t xml:space="preserve">Meets </w:t>
            </w:r>
            <w:r w:rsidR="00A30A1B" w:rsidRPr="00AD1496">
              <w:rPr>
                <w:rFonts w:asciiTheme="majorHAnsi" w:hAnsiTheme="majorHAnsi" w:cstheme="majorHAnsi"/>
                <w:sz w:val="18"/>
                <w:szCs w:val="18"/>
              </w:rPr>
              <w:t xml:space="preserve">basis </w:t>
            </w:r>
            <w:r w:rsidRPr="00AD1496">
              <w:rPr>
                <w:rFonts w:asciiTheme="majorHAnsi" w:hAnsiTheme="majorHAnsi" w:cstheme="majorHAnsi"/>
                <w:sz w:val="18"/>
                <w:szCs w:val="18"/>
              </w:rPr>
              <w:t>for Commonwealth support</w:t>
            </w:r>
          </w:p>
        </w:tc>
        <w:tc>
          <w:tcPr>
            <w:tcW w:w="1134" w:type="dxa"/>
          </w:tcPr>
          <w:p w14:paraId="18C0BEAB" w14:textId="64FBB762" w:rsidR="005E3BBD" w:rsidRPr="00AD1496" w:rsidRDefault="005E3BBD" w:rsidP="00AD6387">
            <w:pPr>
              <w:pStyle w:val="Tablebodytext"/>
              <w:keepN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60" w:type="dxa"/>
          </w:tcPr>
          <w:p w14:paraId="355F649D" w14:textId="27B72629" w:rsidR="005E3BBD" w:rsidRPr="00AD1496" w:rsidRDefault="005E3BBD" w:rsidP="00AD6387">
            <w:pPr>
              <w:pStyle w:val="Tablebodytext"/>
              <w:keepN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383FBA87" wp14:editId="7FE39964">
                  <wp:extent cx="900000" cy="47357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000" cy="473570"/>
                          </a:xfrm>
                          <a:prstGeom prst="rect">
                            <a:avLst/>
                          </a:prstGeom>
                          <a:noFill/>
                        </pic:spPr>
                      </pic:pic>
                    </a:graphicData>
                  </a:graphic>
                </wp:inline>
              </w:drawing>
            </w:r>
          </w:p>
        </w:tc>
        <w:tc>
          <w:tcPr>
            <w:tcW w:w="4108" w:type="dxa"/>
          </w:tcPr>
          <w:p w14:paraId="5980950D" w14:textId="5F813E2C" w:rsidR="005E3BBD" w:rsidRPr="00AD1496" w:rsidRDefault="005E3BBD" w:rsidP="00AD6387">
            <w:pPr>
              <w:pStyle w:val="Tablebodytext"/>
              <w:keepNext/>
              <w:rPr>
                <w:rFonts w:asciiTheme="majorHAnsi" w:hAnsiTheme="majorHAnsi" w:cstheme="majorHAnsi"/>
                <w:sz w:val="18"/>
                <w:szCs w:val="18"/>
              </w:rPr>
            </w:pPr>
            <w:r w:rsidRPr="00AD1496">
              <w:rPr>
                <w:rFonts w:asciiTheme="majorHAnsi" w:hAnsiTheme="majorHAnsi" w:cstheme="majorHAnsi"/>
                <w:sz w:val="18"/>
                <w:szCs w:val="18"/>
              </w:rPr>
              <w:t>The NPA is an appropriate policy instrument based on the following:</w:t>
            </w:r>
          </w:p>
          <w:p w14:paraId="34E2FA27" w14:textId="77777777" w:rsidR="005E3BBD" w:rsidRPr="00AD1496" w:rsidRDefault="005E3BBD" w:rsidP="008D175D">
            <w:pPr>
              <w:pStyle w:val="Tablebodytext"/>
              <w:keepNext/>
              <w:numPr>
                <w:ilvl w:val="0"/>
                <w:numId w:val="28"/>
              </w:numPr>
              <w:ind w:left="360"/>
              <w:rPr>
                <w:rFonts w:asciiTheme="majorHAnsi" w:hAnsiTheme="majorHAnsi" w:cstheme="majorHAnsi"/>
                <w:sz w:val="18"/>
                <w:szCs w:val="18"/>
              </w:rPr>
            </w:pPr>
            <w:r w:rsidRPr="00AD1496">
              <w:rPr>
                <w:rFonts w:asciiTheme="majorHAnsi" w:hAnsiTheme="majorHAnsi" w:cstheme="majorHAnsi"/>
                <w:sz w:val="18"/>
                <w:szCs w:val="18"/>
              </w:rPr>
              <w:t xml:space="preserve">It is closely linked to a current national objective of the Commonwealth; </w:t>
            </w:r>
          </w:p>
          <w:p w14:paraId="02A36943" w14:textId="77777777" w:rsidR="005E3BBD" w:rsidRPr="00AD1496" w:rsidRDefault="005E3BBD" w:rsidP="008D175D">
            <w:pPr>
              <w:pStyle w:val="Tablebodytext"/>
              <w:keepNext/>
              <w:numPr>
                <w:ilvl w:val="0"/>
                <w:numId w:val="28"/>
              </w:numPr>
              <w:ind w:left="360"/>
              <w:rPr>
                <w:rFonts w:asciiTheme="majorHAnsi" w:hAnsiTheme="majorHAnsi" w:cstheme="majorHAnsi"/>
                <w:sz w:val="18"/>
                <w:szCs w:val="18"/>
              </w:rPr>
            </w:pPr>
            <w:r w:rsidRPr="00AD1496">
              <w:rPr>
                <w:rFonts w:asciiTheme="majorHAnsi" w:hAnsiTheme="majorHAnsi" w:cstheme="majorHAnsi"/>
                <w:sz w:val="18"/>
                <w:szCs w:val="18"/>
              </w:rPr>
              <w:t>It has ‘national public good’ characteristics</w:t>
            </w:r>
          </w:p>
          <w:p w14:paraId="27A3A13F" w14:textId="1AEA01E4" w:rsidR="005E3BBD" w:rsidRPr="00AD1496" w:rsidRDefault="005E3BBD" w:rsidP="008D175D">
            <w:pPr>
              <w:pStyle w:val="Tablebodytext"/>
              <w:keepNext/>
              <w:numPr>
                <w:ilvl w:val="0"/>
                <w:numId w:val="28"/>
              </w:numPr>
              <w:ind w:left="360"/>
              <w:rPr>
                <w:rFonts w:asciiTheme="majorHAnsi" w:hAnsiTheme="majorHAnsi" w:cstheme="majorHAnsi"/>
                <w:sz w:val="18"/>
                <w:szCs w:val="18"/>
              </w:rPr>
            </w:pPr>
            <w:r w:rsidRPr="00AD1496">
              <w:rPr>
                <w:rFonts w:asciiTheme="majorHAnsi" w:hAnsiTheme="majorHAnsi" w:cstheme="majorHAnsi"/>
                <w:sz w:val="18"/>
                <w:szCs w:val="18"/>
              </w:rPr>
              <w:t>It has ‘spill over’ benefits that extend beyond the boundaries of a single State</w:t>
            </w:r>
          </w:p>
        </w:tc>
      </w:tr>
      <w:tr w:rsidR="005E3BBD" w:rsidRPr="00AD1496" w14:paraId="0F6964A4" w14:textId="77777777" w:rsidTr="0059633B">
        <w:tc>
          <w:tcPr>
            <w:tcW w:w="435" w:type="dxa"/>
          </w:tcPr>
          <w:p w14:paraId="48F69165" w14:textId="134A7EE6"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lastRenderedPageBreak/>
              <w:t>E24</w:t>
            </w:r>
          </w:p>
        </w:tc>
        <w:tc>
          <w:tcPr>
            <w:tcW w:w="1776" w:type="dxa"/>
          </w:tcPr>
          <w:p w14:paraId="3634AEDA" w14:textId="2BF301AB"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National Partnerships are expected to have limited time horizons</w:t>
            </w:r>
          </w:p>
        </w:tc>
        <w:tc>
          <w:tcPr>
            <w:tcW w:w="1134" w:type="dxa"/>
          </w:tcPr>
          <w:p w14:paraId="2493B4DF" w14:textId="77777777"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Efficient</w:t>
            </w:r>
          </w:p>
          <w:p w14:paraId="00566EE5" w14:textId="518E87E2"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60" w:type="dxa"/>
          </w:tcPr>
          <w:p w14:paraId="0EE909A8" w14:textId="63FFBDC5"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65201225" wp14:editId="1A64FEA5">
                  <wp:extent cx="900000" cy="462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 cy="462735"/>
                          </a:xfrm>
                          <a:prstGeom prst="rect">
                            <a:avLst/>
                          </a:prstGeom>
                          <a:noFill/>
                        </pic:spPr>
                      </pic:pic>
                    </a:graphicData>
                  </a:graphic>
                </wp:inline>
              </w:drawing>
            </w:r>
          </w:p>
        </w:tc>
        <w:tc>
          <w:tcPr>
            <w:tcW w:w="4108" w:type="dxa"/>
          </w:tcPr>
          <w:p w14:paraId="1D2429EF" w14:textId="40F42643" w:rsidR="005E3BBD" w:rsidRPr="00AD1496" w:rsidRDefault="005E3BBD" w:rsidP="002817C4">
            <w:pPr>
              <w:pStyle w:val="Tablebodytext"/>
              <w:rPr>
                <w:rFonts w:asciiTheme="majorHAnsi" w:hAnsiTheme="majorHAnsi" w:cstheme="majorHAnsi"/>
                <w:sz w:val="18"/>
                <w:szCs w:val="18"/>
              </w:rPr>
            </w:pPr>
            <w:r w:rsidRPr="00AD1496">
              <w:rPr>
                <w:rFonts w:asciiTheme="majorHAnsi" w:hAnsiTheme="majorHAnsi" w:cstheme="majorHAnsi"/>
                <w:sz w:val="18"/>
                <w:szCs w:val="18"/>
              </w:rPr>
              <w:t>The NPA is long (7 years) but is reasonable given it covers the period from settling the Basin Plan and SDL adjustment to the finalisation of WRPs to align with the Basin Plan. Any shorter period would have been inconsistent with its objectives.</w:t>
            </w:r>
          </w:p>
        </w:tc>
      </w:tr>
      <w:tr w:rsidR="005E3BBD" w:rsidRPr="00AD1496" w14:paraId="0A4BA227" w14:textId="77777777" w:rsidTr="0059633B">
        <w:tc>
          <w:tcPr>
            <w:tcW w:w="435" w:type="dxa"/>
          </w:tcPr>
          <w:p w14:paraId="594690B6" w14:textId="021EC5F2"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E19</w:t>
            </w:r>
          </w:p>
        </w:tc>
        <w:tc>
          <w:tcPr>
            <w:tcW w:w="1776" w:type="dxa"/>
          </w:tcPr>
          <w:p w14:paraId="032A8B9C" w14:textId="719C7F8C"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Utilisation of project, facilitation or incentive payments</w:t>
            </w:r>
          </w:p>
        </w:tc>
        <w:tc>
          <w:tcPr>
            <w:tcW w:w="1134" w:type="dxa"/>
          </w:tcPr>
          <w:p w14:paraId="1BD60544" w14:textId="77777777"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Effective</w:t>
            </w:r>
          </w:p>
          <w:p w14:paraId="7C94BF5E" w14:textId="77777777"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Efficient</w:t>
            </w:r>
          </w:p>
          <w:p w14:paraId="123A8BF5" w14:textId="717E65CB"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60" w:type="dxa"/>
          </w:tcPr>
          <w:p w14:paraId="6B17F6E4" w14:textId="19140546"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301B10E4" wp14:editId="1963D917">
                  <wp:extent cx="900000" cy="462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 cy="462735"/>
                          </a:xfrm>
                          <a:prstGeom prst="rect">
                            <a:avLst/>
                          </a:prstGeom>
                          <a:noFill/>
                        </pic:spPr>
                      </pic:pic>
                    </a:graphicData>
                  </a:graphic>
                </wp:inline>
              </w:drawing>
            </w:r>
          </w:p>
        </w:tc>
        <w:tc>
          <w:tcPr>
            <w:tcW w:w="4108" w:type="dxa"/>
          </w:tcPr>
          <w:p w14:paraId="41E85D2F" w14:textId="268C0E2A"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Incentive payments were used but the features of payments were not fully utilised in the NPA.</w:t>
            </w:r>
          </w:p>
        </w:tc>
      </w:tr>
      <w:tr w:rsidR="005E3BBD" w:rsidRPr="00AD1496" w14:paraId="64C654C4" w14:textId="77777777" w:rsidTr="0059633B">
        <w:tc>
          <w:tcPr>
            <w:tcW w:w="435" w:type="dxa"/>
          </w:tcPr>
          <w:p w14:paraId="12986FFD" w14:textId="7900A83D" w:rsidR="005E3BBD" w:rsidRPr="00AD1496" w:rsidRDefault="005E3BBD" w:rsidP="005E3BBD">
            <w:pPr>
              <w:pStyle w:val="Tablebodytext"/>
              <w:rPr>
                <w:rFonts w:asciiTheme="majorHAnsi" w:hAnsiTheme="majorHAnsi" w:cstheme="majorHAnsi"/>
                <w:sz w:val="18"/>
                <w:szCs w:val="18"/>
              </w:rPr>
            </w:pPr>
          </w:p>
        </w:tc>
        <w:tc>
          <w:tcPr>
            <w:tcW w:w="1776" w:type="dxa"/>
          </w:tcPr>
          <w:p w14:paraId="7D0CEAC3" w14:textId="66082DAF"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Structure incentive payments to encourage ambitious benchmarks</w:t>
            </w:r>
          </w:p>
        </w:tc>
        <w:tc>
          <w:tcPr>
            <w:tcW w:w="1134" w:type="dxa"/>
          </w:tcPr>
          <w:p w14:paraId="62CD76E7" w14:textId="77777777"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Effective</w:t>
            </w:r>
          </w:p>
          <w:p w14:paraId="0CB25BE2" w14:textId="7F575E12"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sz w:val="18"/>
                <w:szCs w:val="18"/>
              </w:rPr>
              <w:t>Efficient</w:t>
            </w:r>
          </w:p>
        </w:tc>
        <w:tc>
          <w:tcPr>
            <w:tcW w:w="1560" w:type="dxa"/>
          </w:tcPr>
          <w:p w14:paraId="317BA646" w14:textId="55C0D6CB" w:rsidR="005E3BBD" w:rsidRPr="00AD1496" w:rsidRDefault="005E3BBD" w:rsidP="005E3BBD">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61FD0622" wp14:editId="42E11EC4">
                  <wp:extent cx="900000" cy="462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 cy="462735"/>
                          </a:xfrm>
                          <a:prstGeom prst="rect">
                            <a:avLst/>
                          </a:prstGeom>
                          <a:noFill/>
                        </pic:spPr>
                      </pic:pic>
                    </a:graphicData>
                  </a:graphic>
                </wp:inline>
              </w:drawing>
            </w:r>
          </w:p>
        </w:tc>
        <w:tc>
          <w:tcPr>
            <w:tcW w:w="4108" w:type="dxa"/>
          </w:tcPr>
          <w:p w14:paraId="720A568B" w14:textId="77777777" w:rsidR="00F3765B" w:rsidRPr="00AD1496" w:rsidRDefault="00F3765B" w:rsidP="00F3765B">
            <w:pPr>
              <w:pStyle w:val="Tablebodytext"/>
              <w:rPr>
                <w:rFonts w:asciiTheme="majorHAnsi" w:hAnsiTheme="majorHAnsi" w:cstheme="majorHAnsi"/>
                <w:sz w:val="18"/>
                <w:szCs w:val="18"/>
              </w:rPr>
            </w:pPr>
            <w:r w:rsidRPr="00AD1496">
              <w:rPr>
                <w:rFonts w:asciiTheme="majorHAnsi" w:hAnsiTheme="majorHAnsi" w:cstheme="majorHAnsi"/>
                <w:sz w:val="18"/>
                <w:szCs w:val="18"/>
              </w:rPr>
              <w:t>The incentive payments were structured as "all or nothing" payments. This provides maximum incentive to achieve all performance milestones, but it also has two adverse effects:</w:t>
            </w:r>
          </w:p>
          <w:p w14:paraId="11A70B82" w14:textId="7694BA1C" w:rsidR="00F3765B" w:rsidRPr="00AD1496" w:rsidRDefault="00F3765B" w:rsidP="00F3765B">
            <w:pPr>
              <w:pStyle w:val="Tablebullet"/>
              <w:rPr>
                <w:rFonts w:asciiTheme="majorHAnsi" w:hAnsiTheme="majorHAnsi" w:cstheme="majorHAnsi"/>
                <w:sz w:val="18"/>
              </w:rPr>
            </w:pPr>
            <w:r w:rsidRPr="00AD1496">
              <w:rPr>
                <w:rFonts w:asciiTheme="majorHAnsi" w:hAnsiTheme="majorHAnsi" w:cstheme="majorHAnsi"/>
                <w:sz w:val="18"/>
              </w:rPr>
              <w:t>it can place extraordinary pressure on the a</w:t>
            </w:r>
            <w:r w:rsidR="00A7729E" w:rsidRPr="00AD1496">
              <w:rPr>
                <w:rFonts w:asciiTheme="majorHAnsi" w:hAnsiTheme="majorHAnsi" w:cstheme="majorHAnsi"/>
                <w:sz w:val="18"/>
              </w:rPr>
              <w:t>s</w:t>
            </w:r>
            <w:r w:rsidRPr="00AD1496">
              <w:rPr>
                <w:rFonts w:asciiTheme="majorHAnsi" w:hAnsiTheme="majorHAnsi" w:cstheme="majorHAnsi"/>
                <w:sz w:val="18"/>
              </w:rPr>
              <w:t>sessor and decision</w:t>
            </w:r>
            <w:r w:rsidR="00A7729E" w:rsidRPr="00AD1496">
              <w:rPr>
                <w:rFonts w:asciiTheme="majorHAnsi" w:hAnsiTheme="majorHAnsi" w:cstheme="majorHAnsi"/>
                <w:sz w:val="18"/>
              </w:rPr>
              <w:t>-</w:t>
            </w:r>
            <w:r w:rsidRPr="00AD1496">
              <w:rPr>
                <w:rFonts w:asciiTheme="majorHAnsi" w:hAnsiTheme="majorHAnsi" w:cstheme="majorHAnsi"/>
                <w:sz w:val="18"/>
              </w:rPr>
              <w:t>maker as to whether payments should be paid in marginal circumstances</w:t>
            </w:r>
          </w:p>
          <w:p w14:paraId="6FA6959B" w14:textId="1811D53B" w:rsidR="005E3BBD" w:rsidRPr="00AD1496" w:rsidRDefault="00F3765B" w:rsidP="00F3765B">
            <w:pPr>
              <w:pStyle w:val="Tablebullet"/>
              <w:rPr>
                <w:rFonts w:asciiTheme="majorHAnsi" w:hAnsiTheme="majorHAnsi" w:cstheme="majorHAnsi"/>
              </w:rPr>
            </w:pPr>
            <w:r w:rsidRPr="00AD1496">
              <w:rPr>
                <w:rFonts w:asciiTheme="majorHAnsi" w:hAnsiTheme="majorHAnsi" w:cstheme="majorHAnsi"/>
                <w:sz w:val="18"/>
              </w:rPr>
              <w:t>it removes all financial incentive to strive for performance in circumstances where a jurisdiction is clearly not going to achieve an ambitious milestone</w:t>
            </w:r>
            <w:r w:rsidR="00A7729E" w:rsidRPr="00AD1496">
              <w:rPr>
                <w:rFonts w:asciiTheme="majorHAnsi" w:hAnsiTheme="majorHAnsi" w:cstheme="majorHAnsi"/>
                <w:sz w:val="18"/>
              </w:rPr>
              <w:t>.</w:t>
            </w:r>
          </w:p>
        </w:tc>
      </w:tr>
    </w:tbl>
    <w:p w14:paraId="2080E7B4" w14:textId="77777777" w:rsidR="00D44B6B" w:rsidRPr="00AD1496" w:rsidRDefault="00D44B6B" w:rsidP="00D44B6B">
      <w:pPr>
        <w:pStyle w:val="Heading4"/>
        <w:rPr>
          <w:rFonts w:asciiTheme="majorHAnsi" w:hAnsiTheme="majorHAnsi" w:cstheme="majorHAnsi"/>
        </w:rPr>
      </w:pPr>
      <w:r w:rsidRPr="00AD1496">
        <w:rPr>
          <w:rFonts w:asciiTheme="majorHAnsi" w:hAnsiTheme="majorHAnsi" w:cstheme="majorHAnsi"/>
        </w:rPr>
        <w:t>Basis and timing of the NPA</w:t>
      </w:r>
    </w:p>
    <w:p w14:paraId="0C45AB20" w14:textId="4B0031F4" w:rsidR="00D44B6B" w:rsidRPr="00AD1496" w:rsidRDefault="00D44B6B" w:rsidP="00D44B6B">
      <w:pPr>
        <w:rPr>
          <w:rFonts w:asciiTheme="majorHAnsi" w:hAnsiTheme="majorHAnsi" w:cstheme="majorHAnsi"/>
        </w:rPr>
      </w:pPr>
      <w:r w:rsidRPr="00AD1496">
        <w:rPr>
          <w:rFonts w:asciiTheme="majorHAnsi" w:hAnsiTheme="majorHAnsi" w:cstheme="majorHAnsi"/>
        </w:rPr>
        <w:t xml:space="preserve">The NPA </w:t>
      </w:r>
      <w:r w:rsidR="00A30A1B" w:rsidRPr="00AD1496">
        <w:rPr>
          <w:rFonts w:asciiTheme="majorHAnsi" w:hAnsiTheme="majorHAnsi" w:cstheme="majorHAnsi"/>
        </w:rPr>
        <w:t xml:space="preserve">is </w:t>
      </w:r>
      <w:r w:rsidRPr="00AD1496">
        <w:rPr>
          <w:rFonts w:asciiTheme="majorHAnsi" w:hAnsiTheme="majorHAnsi" w:cstheme="majorHAnsi"/>
        </w:rPr>
        <w:t xml:space="preserve">an appropriate policy instrument and </w:t>
      </w:r>
      <w:r w:rsidR="00A30A1B" w:rsidRPr="00AD1496">
        <w:rPr>
          <w:rFonts w:asciiTheme="majorHAnsi" w:hAnsiTheme="majorHAnsi" w:cstheme="majorHAnsi"/>
        </w:rPr>
        <w:t xml:space="preserve">meets </w:t>
      </w:r>
      <w:r w:rsidRPr="00AD1496">
        <w:rPr>
          <w:rFonts w:asciiTheme="majorHAnsi" w:hAnsiTheme="majorHAnsi" w:cstheme="majorHAnsi"/>
        </w:rPr>
        <w:t xml:space="preserve">the </w:t>
      </w:r>
      <w:r w:rsidR="00A30A1B" w:rsidRPr="00AD1496">
        <w:rPr>
          <w:rFonts w:asciiTheme="majorHAnsi" w:hAnsiTheme="majorHAnsi" w:cstheme="majorHAnsi"/>
        </w:rPr>
        <w:t xml:space="preserve">basis </w:t>
      </w:r>
      <w:r w:rsidRPr="00AD1496">
        <w:rPr>
          <w:rFonts w:asciiTheme="majorHAnsi" w:hAnsiTheme="majorHAnsi" w:cstheme="majorHAnsi"/>
        </w:rPr>
        <w:t>for Commonwealth support in that it is linked to current national objectives, has national public good</w:t>
      </w:r>
      <w:r w:rsidR="002500E8" w:rsidRPr="00AD1496">
        <w:rPr>
          <w:rFonts w:asciiTheme="majorHAnsi" w:hAnsiTheme="majorHAnsi" w:cstheme="majorHAnsi"/>
        </w:rPr>
        <w:t xml:space="preserve"> </w:t>
      </w:r>
      <w:r w:rsidRPr="00AD1496">
        <w:rPr>
          <w:rFonts w:asciiTheme="majorHAnsi" w:hAnsiTheme="majorHAnsi" w:cstheme="majorHAnsi"/>
        </w:rPr>
        <w:t>and has effects that spill over</w:t>
      </w:r>
      <w:r w:rsidR="002500E8" w:rsidRPr="00AD1496">
        <w:rPr>
          <w:rFonts w:asciiTheme="majorHAnsi" w:hAnsiTheme="majorHAnsi" w:cstheme="majorHAnsi"/>
        </w:rPr>
        <w:t xml:space="preserve"> </w:t>
      </w:r>
      <w:r w:rsidRPr="00AD1496">
        <w:rPr>
          <w:rFonts w:asciiTheme="majorHAnsi" w:hAnsiTheme="majorHAnsi" w:cstheme="majorHAnsi"/>
        </w:rPr>
        <w:t xml:space="preserve">State boundaries (see E21, </w:t>
      </w:r>
      <w:r w:rsidRPr="00AD1496">
        <w:rPr>
          <w:rFonts w:asciiTheme="majorHAnsi" w:hAnsiTheme="majorHAnsi" w:cstheme="majorHAnsi"/>
        </w:rPr>
        <w:fldChar w:fldCharType="begin"/>
      </w:r>
      <w:r w:rsidRPr="00AD1496">
        <w:rPr>
          <w:rFonts w:asciiTheme="majorHAnsi" w:hAnsiTheme="majorHAnsi" w:cstheme="majorHAnsi"/>
        </w:rPr>
        <w:instrText xml:space="preserve"> REF _Ref18667400 \r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Table 2 above</w:t>
      </w:r>
      <w:r w:rsidRPr="00AD1496">
        <w:rPr>
          <w:rFonts w:asciiTheme="majorHAnsi" w:hAnsiTheme="majorHAnsi" w:cstheme="majorHAnsi"/>
        </w:rPr>
        <w:fldChar w:fldCharType="end"/>
      </w:r>
      <w:r w:rsidRPr="00AD1496">
        <w:rPr>
          <w:rFonts w:asciiTheme="majorHAnsi" w:hAnsiTheme="majorHAnsi" w:cstheme="majorHAnsi"/>
        </w:rPr>
        <w:t>).</w:t>
      </w:r>
    </w:p>
    <w:p w14:paraId="67C2B015" w14:textId="61894B69" w:rsidR="00D44B6B" w:rsidRPr="00AD1496" w:rsidRDefault="00D44B6B" w:rsidP="00D44B6B">
      <w:pPr>
        <w:rPr>
          <w:rFonts w:asciiTheme="majorHAnsi" w:hAnsiTheme="majorHAnsi" w:cstheme="majorHAnsi"/>
        </w:rPr>
      </w:pPr>
      <w:r w:rsidRPr="00AD1496">
        <w:rPr>
          <w:rFonts w:asciiTheme="majorHAnsi" w:hAnsiTheme="majorHAnsi" w:cstheme="majorHAnsi"/>
        </w:rPr>
        <w:t xml:space="preserve">While the NPA </w:t>
      </w:r>
      <w:r w:rsidR="00A30A1B" w:rsidRPr="00AD1496">
        <w:rPr>
          <w:rFonts w:asciiTheme="majorHAnsi" w:hAnsiTheme="majorHAnsi" w:cstheme="majorHAnsi"/>
        </w:rPr>
        <w:t xml:space="preserve">is </w:t>
      </w:r>
      <w:r w:rsidRPr="00AD1496">
        <w:rPr>
          <w:rFonts w:asciiTheme="majorHAnsi" w:hAnsiTheme="majorHAnsi" w:cstheme="majorHAnsi"/>
        </w:rPr>
        <w:t xml:space="preserve">relatively long for </w:t>
      </w:r>
      <w:r w:rsidR="0034635F" w:rsidRPr="00AD1496">
        <w:rPr>
          <w:rFonts w:asciiTheme="majorHAnsi" w:hAnsiTheme="majorHAnsi" w:cstheme="majorHAnsi"/>
        </w:rPr>
        <w:t xml:space="preserve">a </w:t>
      </w:r>
      <w:r w:rsidRPr="00AD1496">
        <w:rPr>
          <w:rFonts w:asciiTheme="majorHAnsi" w:hAnsiTheme="majorHAnsi" w:cstheme="majorHAnsi"/>
        </w:rPr>
        <w:t xml:space="preserve">National Partnership, it </w:t>
      </w:r>
      <w:r w:rsidR="00A30A1B" w:rsidRPr="00AD1496">
        <w:rPr>
          <w:rFonts w:asciiTheme="majorHAnsi" w:hAnsiTheme="majorHAnsi" w:cstheme="majorHAnsi"/>
        </w:rPr>
        <w:t xml:space="preserve">is </w:t>
      </w:r>
      <w:r w:rsidRPr="00AD1496">
        <w:rPr>
          <w:rFonts w:asciiTheme="majorHAnsi" w:hAnsiTheme="majorHAnsi" w:cstheme="majorHAnsi"/>
        </w:rPr>
        <w:t xml:space="preserve">consistent with best practice (see E24, </w:t>
      </w:r>
      <w:r w:rsidRPr="00AD1496">
        <w:rPr>
          <w:rFonts w:asciiTheme="majorHAnsi" w:hAnsiTheme="majorHAnsi" w:cstheme="majorHAnsi"/>
        </w:rPr>
        <w:fldChar w:fldCharType="begin"/>
      </w:r>
      <w:r w:rsidRPr="00AD1496">
        <w:rPr>
          <w:rFonts w:asciiTheme="majorHAnsi" w:hAnsiTheme="majorHAnsi" w:cstheme="majorHAnsi"/>
        </w:rPr>
        <w:instrText xml:space="preserve"> REF _Ref18667400 \r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Table 2 above</w:t>
      </w:r>
      <w:r w:rsidRPr="00AD1496">
        <w:rPr>
          <w:rFonts w:asciiTheme="majorHAnsi" w:hAnsiTheme="majorHAnsi" w:cstheme="majorHAnsi"/>
        </w:rPr>
        <w:fldChar w:fldCharType="end"/>
      </w:r>
      <w:r w:rsidRPr="00AD1496">
        <w:rPr>
          <w:rFonts w:asciiTheme="majorHAnsi" w:hAnsiTheme="majorHAnsi" w:cstheme="majorHAnsi"/>
        </w:rPr>
        <w:t xml:space="preserve">) as </w:t>
      </w:r>
      <w:r w:rsidRPr="00AD1496">
        <w:rPr>
          <w:rFonts w:asciiTheme="majorHAnsi" w:hAnsiTheme="majorHAnsi" w:cstheme="majorHAnsi"/>
        </w:rPr>
        <w:lastRenderedPageBreak/>
        <w:t xml:space="preserve">its timeframe </w:t>
      </w:r>
      <w:r w:rsidR="00A30A1B" w:rsidRPr="00AD1496">
        <w:rPr>
          <w:rFonts w:asciiTheme="majorHAnsi" w:hAnsiTheme="majorHAnsi" w:cstheme="majorHAnsi"/>
        </w:rPr>
        <w:t xml:space="preserve">includes </w:t>
      </w:r>
      <w:r w:rsidRPr="00AD1496">
        <w:rPr>
          <w:rFonts w:asciiTheme="majorHAnsi" w:hAnsiTheme="majorHAnsi" w:cstheme="majorHAnsi"/>
        </w:rPr>
        <w:t>the initialisation of the Basin Plan and extends to the revision of WRPs to align with the Basin Plan.</w:t>
      </w:r>
      <w:r w:rsidRPr="00AD1496">
        <w:rPr>
          <w:rStyle w:val="FootnoteReference"/>
          <w:rFonts w:asciiTheme="majorHAnsi" w:hAnsiTheme="majorHAnsi" w:cstheme="majorHAnsi"/>
        </w:rPr>
        <w:footnoteReference w:id="10"/>
      </w:r>
    </w:p>
    <w:p w14:paraId="1D6DDC9B" w14:textId="070D9620" w:rsidR="00950F20" w:rsidRPr="00AD1496" w:rsidRDefault="00950F20" w:rsidP="00950F20">
      <w:pPr>
        <w:pStyle w:val="Heading4"/>
        <w:rPr>
          <w:rFonts w:asciiTheme="majorHAnsi" w:hAnsiTheme="majorHAnsi" w:cstheme="majorHAnsi"/>
        </w:rPr>
      </w:pPr>
      <w:r w:rsidRPr="00AD1496">
        <w:rPr>
          <w:rFonts w:asciiTheme="majorHAnsi" w:hAnsiTheme="majorHAnsi" w:cstheme="majorHAnsi"/>
        </w:rPr>
        <w:t>Payment structure</w:t>
      </w:r>
    </w:p>
    <w:p w14:paraId="0CB96465" w14:textId="6B1ED8F4" w:rsidR="00F3765B" w:rsidRPr="00AD1496" w:rsidRDefault="00F3765B" w:rsidP="00F3765B">
      <w:pPr>
        <w:rPr>
          <w:rFonts w:asciiTheme="majorHAnsi" w:hAnsiTheme="majorHAnsi" w:cstheme="majorHAnsi"/>
        </w:rPr>
      </w:pPr>
      <w:bookmarkStart w:id="50" w:name="_Ref18674159"/>
      <w:r w:rsidRPr="00AD1496">
        <w:rPr>
          <w:rFonts w:asciiTheme="majorHAnsi" w:hAnsiTheme="majorHAnsi" w:cstheme="majorHAnsi"/>
        </w:rPr>
        <w:t xml:space="preserve">The NPA is consistent with best practice in utilising reward payments to incentivise achievement of ambitious milestones (see E19, </w:t>
      </w:r>
      <w:r w:rsidRPr="00AD1496">
        <w:rPr>
          <w:rFonts w:asciiTheme="majorHAnsi" w:hAnsiTheme="majorHAnsi" w:cstheme="majorHAnsi"/>
        </w:rPr>
        <w:fldChar w:fldCharType="begin"/>
      </w:r>
      <w:r w:rsidRPr="00AD1496">
        <w:rPr>
          <w:rFonts w:asciiTheme="majorHAnsi" w:hAnsiTheme="majorHAnsi" w:cstheme="majorHAnsi"/>
        </w:rPr>
        <w:instrText xml:space="preserve"> REF _Ref18667400 \r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Table 2 above</w:t>
      </w:r>
      <w:r w:rsidRPr="00AD1496">
        <w:rPr>
          <w:rFonts w:asciiTheme="majorHAnsi" w:hAnsiTheme="majorHAnsi" w:cstheme="majorHAnsi"/>
        </w:rPr>
        <w:fldChar w:fldCharType="end"/>
      </w:r>
      <w:r w:rsidRPr="00AD1496">
        <w:rPr>
          <w:rFonts w:asciiTheme="majorHAnsi" w:hAnsiTheme="majorHAnsi" w:cstheme="majorHAnsi"/>
        </w:rPr>
        <w:t xml:space="preserve">); however, the available features of reward payments were not fully utilised. </w:t>
      </w:r>
    </w:p>
    <w:p w14:paraId="3F4D23A6" w14:textId="1E5B412C" w:rsidR="00F3765B" w:rsidRPr="00AD1496" w:rsidRDefault="00F3765B" w:rsidP="00F3765B">
      <w:pPr>
        <w:rPr>
          <w:rFonts w:asciiTheme="majorHAnsi" w:hAnsiTheme="majorHAnsi" w:cstheme="majorHAnsi"/>
        </w:rPr>
      </w:pPr>
      <w:r w:rsidRPr="00AD1496">
        <w:rPr>
          <w:rFonts w:asciiTheme="majorHAnsi" w:hAnsiTheme="majorHAnsi" w:cstheme="majorHAnsi"/>
        </w:rPr>
        <w:t xml:space="preserve">The incentive payments were structured as "all or nothing" payments (see E19, </w:t>
      </w:r>
      <w:r w:rsidRPr="00AD1496">
        <w:rPr>
          <w:rFonts w:asciiTheme="majorHAnsi" w:hAnsiTheme="majorHAnsi" w:cstheme="majorHAnsi"/>
        </w:rPr>
        <w:fldChar w:fldCharType="begin"/>
      </w:r>
      <w:r w:rsidRPr="00AD1496">
        <w:rPr>
          <w:rFonts w:asciiTheme="majorHAnsi" w:hAnsiTheme="majorHAnsi" w:cstheme="majorHAnsi"/>
        </w:rPr>
        <w:instrText xml:space="preserve"> REF _Ref18667400 \r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Table 2 above</w:t>
      </w:r>
      <w:r w:rsidRPr="00AD1496">
        <w:rPr>
          <w:rFonts w:asciiTheme="majorHAnsi" w:hAnsiTheme="majorHAnsi" w:cstheme="majorHAnsi"/>
        </w:rPr>
        <w:fldChar w:fldCharType="end"/>
      </w:r>
      <w:r w:rsidRPr="00AD1496">
        <w:rPr>
          <w:rFonts w:asciiTheme="majorHAnsi" w:hAnsiTheme="majorHAnsi" w:cstheme="majorHAnsi"/>
        </w:rPr>
        <w:t>). This provides maximum incentive to achieve all performance milestones, but it also has adverse effects:</w:t>
      </w:r>
    </w:p>
    <w:p w14:paraId="0D5D708C" w14:textId="60487C03" w:rsidR="00F3765B" w:rsidRPr="00AD1496" w:rsidRDefault="00B336DD" w:rsidP="00F3765B">
      <w:pPr>
        <w:pStyle w:val="ListBullet"/>
        <w:rPr>
          <w:rFonts w:asciiTheme="majorHAnsi" w:hAnsiTheme="majorHAnsi" w:cstheme="majorHAnsi"/>
        </w:rPr>
      </w:pPr>
      <w:r w:rsidRPr="00AD1496">
        <w:rPr>
          <w:rFonts w:asciiTheme="majorHAnsi" w:hAnsiTheme="majorHAnsi" w:cstheme="majorHAnsi"/>
        </w:rPr>
        <w:t>i</w:t>
      </w:r>
      <w:r w:rsidR="00F3765B" w:rsidRPr="00AD1496">
        <w:rPr>
          <w:rFonts w:asciiTheme="majorHAnsi" w:hAnsiTheme="majorHAnsi" w:cstheme="majorHAnsi"/>
        </w:rPr>
        <w:t>n some circumstances, it can place extraordinary pressure on the as</w:t>
      </w:r>
      <w:r w:rsidR="00A7729E" w:rsidRPr="00AD1496">
        <w:rPr>
          <w:rFonts w:asciiTheme="majorHAnsi" w:hAnsiTheme="majorHAnsi" w:cstheme="majorHAnsi"/>
        </w:rPr>
        <w:t>s</w:t>
      </w:r>
      <w:r w:rsidR="00F3765B" w:rsidRPr="00AD1496">
        <w:rPr>
          <w:rFonts w:asciiTheme="majorHAnsi" w:hAnsiTheme="majorHAnsi" w:cstheme="majorHAnsi"/>
        </w:rPr>
        <w:t>essor and decision</w:t>
      </w:r>
      <w:r w:rsidR="00A7729E" w:rsidRPr="00AD1496">
        <w:rPr>
          <w:rFonts w:asciiTheme="majorHAnsi" w:hAnsiTheme="majorHAnsi" w:cstheme="majorHAnsi"/>
        </w:rPr>
        <w:t>-</w:t>
      </w:r>
      <w:r w:rsidR="00F3765B" w:rsidRPr="00AD1496">
        <w:rPr>
          <w:rFonts w:asciiTheme="majorHAnsi" w:hAnsiTheme="majorHAnsi" w:cstheme="majorHAnsi"/>
        </w:rPr>
        <w:t>maker as to whether payments should be paid—</w:t>
      </w:r>
      <w:r w:rsidRPr="00AD1496">
        <w:rPr>
          <w:rFonts w:asciiTheme="majorHAnsi" w:hAnsiTheme="majorHAnsi" w:cstheme="majorHAnsi"/>
        </w:rPr>
        <w:t xml:space="preserve">noting that clause 24 of the </w:t>
      </w:r>
      <w:r w:rsidRPr="00AD1496">
        <w:rPr>
          <w:rFonts w:asciiTheme="majorHAnsi" w:hAnsiTheme="majorHAnsi" w:cstheme="majorHAnsi"/>
        </w:rPr>
        <w:lastRenderedPageBreak/>
        <w:t>NPA allows the Minister to authorise payments where adverse findings are not considered material to that State’s cooperation with reforms</w:t>
      </w:r>
      <w:r w:rsidR="00F3765B" w:rsidRPr="00AD1496">
        <w:rPr>
          <w:rFonts w:asciiTheme="majorHAnsi" w:hAnsiTheme="majorHAnsi" w:cstheme="majorHAnsi"/>
        </w:rPr>
        <w:t xml:space="preserve">. </w:t>
      </w:r>
      <w:r w:rsidRPr="00AD1496">
        <w:rPr>
          <w:rFonts w:asciiTheme="majorHAnsi" w:hAnsiTheme="majorHAnsi" w:cstheme="majorHAnsi"/>
        </w:rPr>
        <w:t xml:space="preserve">However there may be pressure in marginal circumstances to compromise on assessment of the materiality of achievement of performance milestones. </w:t>
      </w:r>
      <w:r w:rsidR="00F3765B" w:rsidRPr="00AD1496">
        <w:rPr>
          <w:rFonts w:asciiTheme="majorHAnsi" w:hAnsiTheme="majorHAnsi" w:cstheme="majorHAnsi"/>
        </w:rPr>
        <w:t>Furthermore, any proclivity for compromise on the part of the assessor or decision</w:t>
      </w:r>
      <w:r w:rsidRPr="00AD1496">
        <w:rPr>
          <w:rFonts w:asciiTheme="majorHAnsi" w:hAnsiTheme="majorHAnsi" w:cstheme="majorHAnsi"/>
        </w:rPr>
        <w:t>-</w:t>
      </w:r>
      <w:r w:rsidR="00F3765B" w:rsidRPr="00AD1496">
        <w:rPr>
          <w:rFonts w:asciiTheme="majorHAnsi" w:hAnsiTheme="majorHAnsi" w:cstheme="majorHAnsi"/>
        </w:rPr>
        <w:t>maker may encourage the payment recipient to lower their future performance.</w:t>
      </w:r>
    </w:p>
    <w:p w14:paraId="08BC49C8" w14:textId="77777777" w:rsidR="000C116D" w:rsidRDefault="00B336DD" w:rsidP="00F3765B">
      <w:pPr>
        <w:pStyle w:val="ListBullet"/>
        <w:rPr>
          <w:rFonts w:asciiTheme="majorHAnsi" w:hAnsiTheme="majorHAnsi" w:cstheme="majorHAnsi"/>
        </w:rPr>
      </w:pPr>
      <w:r w:rsidRPr="00AD1496">
        <w:rPr>
          <w:rFonts w:asciiTheme="majorHAnsi" w:hAnsiTheme="majorHAnsi" w:cstheme="majorHAnsi"/>
        </w:rPr>
        <w:t>i</w:t>
      </w:r>
      <w:r w:rsidR="00F3765B" w:rsidRPr="00AD1496">
        <w:rPr>
          <w:rFonts w:asciiTheme="majorHAnsi" w:hAnsiTheme="majorHAnsi" w:cstheme="majorHAnsi"/>
        </w:rPr>
        <w:t>t removes all financial incentive to strive for performance in circumstances where a jurisdiction is clearly not going to achieve an ambitious milestone.</w:t>
      </w:r>
    </w:p>
    <w:p w14:paraId="23A43A7A" w14:textId="393DD655" w:rsidR="00BE77F6" w:rsidRPr="00AD1496" w:rsidRDefault="00BE77F6" w:rsidP="00F3765B">
      <w:pPr>
        <w:pStyle w:val="ListBullet"/>
        <w:rPr>
          <w:rFonts w:asciiTheme="majorHAnsi" w:hAnsiTheme="majorHAnsi" w:cstheme="majorHAnsi"/>
        </w:rPr>
      </w:pPr>
      <w:r>
        <w:rPr>
          <w:rFonts w:asciiTheme="majorHAnsi" w:hAnsiTheme="majorHAnsi" w:cstheme="majorHAnsi"/>
        </w:rPr>
        <w:t xml:space="preserve">it imposes maximum penalty on States who </w:t>
      </w:r>
      <w:r w:rsidR="001E405E">
        <w:rPr>
          <w:rFonts w:asciiTheme="majorHAnsi" w:hAnsiTheme="majorHAnsi" w:cstheme="majorHAnsi"/>
        </w:rPr>
        <w:t>are motivated to achieve reform but for one reason or another are unable to fully meet a payment milestone</w:t>
      </w:r>
      <w:r>
        <w:rPr>
          <w:rFonts w:asciiTheme="majorHAnsi" w:hAnsiTheme="majorHAnsi" w:cstheme="majorHAnsi"/>
        </w:rPr>
        <w:t>.</w:t>
      </w:r>
    </w:p>
    <w:p w14:paraId="25D73FE0" w14:textId="77777777" w:rsidR="000C116D" w:rsidRPr="00AD1496" w:rsidRDefault="000C116D" w:rsidP="000C116D">
      <w:pPr>
        <w:pStyle w:val="ListBullet"/>
        <w:numPr>
          <w:ilvl w:val="0"/>
          <w:numId w:val="0"/>
        </w:numPr>
        <w:rPr>
          <w:rFonts w:asciiTheme="majorHAnsi" w:hAnsiTheme="majorHAnsi" w:cstheme="majorHAnsi"/>
        </w:rPr>
      </w:pPr>
    </w:p>
    <w:p w14:paraId="022264CE" w14:textId="0F0554F0" w:rsidR="00F3765B" w:rsidRPr="00AD1496" w:rsidRDefault="008C02DC" w:rsidP="000C116D">
      <w:pPr>
        <w:pStyle w:val="ListBullet"/>
        <w:numPr>
          <w:ilvl w:val="0"/>
          <w:numId w:val="0"/>
        </w:numPr>
        <w:rPr>
          <w:rFonts w:asciiTheme="majorHAnsi" w:hAnsiTheme="majorHAnsi" w:cstheme="majorHAnsi"/>
        </w:rPr>
      </w:pPr>
      <w:r w:rsidRPr="00AD1496">
        <w:rPr>
          <w:rFonts w:asciiTheme="majorHAnsi" w:hAnsiTheme="majorHAnsi" w:cstheme="majorHAnsi"/>
        </w:rPr>
        <w:t>A</w:t>
      </w:r>
      <w:r w:rsidR="00F3765B" w:rsidRPr="00AD1496">
        <w:rPr>
          <w:rFonts w:asciiTheme="majorHAnsi" w:hAnsiTheme="majorHAnsi" w:cstheme="majorHAnsi"/>
        </w:rPr>
        <w:t xml:space="preserve"> broader problem with the NPA is that States have received almost all payments, but overall progress on the reforms has been delayed.</w:t>
      </w:r>
      <w:r w:rsidR="00901671" w:rsidRPr="00AD1496">
        <w:rPr>
          <w:rFonts w:asciiTheme="majorHAnsi" w:hAnsiTheme="majorHAnsi" w:cstheme="majorHAnsi"/>
        </w:rPr>
        <w:t xml:space="preserve"> </w:t>
      </w:r>
      <w:r w:rsidR="00F3765B" w:rsidRPr="00AD1496">
        <w:rPr>
          <w:rFonts w:asciiTheme="majorHAnsi" w:hAnsiTheme="majorHAnsi" w:cstheme="majorHAnsi"/>
        </w:rPr>
        <w:t>For example, some States</w:t>
      </w:r>
      <w:r w:rsidRPr="00AD1496">
        <w:rPr>
          <w:rFonts w:asciiTheme="majorHAnsi" w:hAnsiTheme="majorHAnsi" w:cstheme="majorHAnsi"/>
        </w:rPr>
        <w:t xml:space="preserve"> intended to deliver</w:t>
      </w:r>
      <w:r w:rsidR="00F3765B" w:rsidRPr="00AD1496">
        <w:rPr>
          <w:rFonts w:asciiTheme="majorHAnsi" w:hAnsiTheme="majorHAnsi" w:cstheme="majorHAnsi"/>
        </w:rPr>
        <w:t xml:space="preserve"> </w:t>
      </w:r>
      <w:r w:rsidR="000C116D" w:rsidRPr="00AD1496">
        <w:rPr>
          <w:rFonts w:asciiTheme="majorHAnsi" w:hAnsiTheme="majorHAnsi" w:cstheme="majorHAnsi"/>
        </w:rPr>
        <w:t xml:space="preserve">WRPs but </w:t>
      </w:r>
      <w:r w:rsidR="00F3765B" w:rsidRPr="00AD1496">
        <w:rPr>
          <w:rFonts w:asciiTheme="majorHAnsi" w:hAnsiTheme="majorHAnsi" w:cstheme="majorHAnsi"/>
        </w:rPr>
        <w:t>appear</w:t>
      </w:r>
      <w:r w:rsidR="000C116D" w:rsidRPr="00AD1496">
        <w:rPr>
          <w:rFonts w:asciiTheme="majorHAnsi" w:hAnsiTheme="majorHAnsi" w:cstheme="majorHAnsi"/>
        </w:rPr>
        <w:t>ed</w:t>
      </w:r>
      <w:r w:rsidR="00F3765B" w:rsidRPr="00AD1496">
        <w:rPr>
          <w:rFonts w:asciiTheme="majorHAnsi" w:hAnsiTheme="majorHAnsi" w:cstheme="majorHAnsi"/>
        </w:rPr>
        <w:t xml:space="preserve"> to have left development of </w:t>
      </w:r>
      <w:r w:rsidR="00A7729E" w:rsidRPr="00AD1496">
        <w:rPr>
          <w:rFonts w:asciiTheme="majorHAnsi" w:hAnsiTheme="majorHAnsi" w:cstheme="majorHAnsi"/>
        </w:rPr>
        <w:t>WRPs</w:t>
      </w:r>
      <w:r w:rsidR="00F3765B" w:rsidRPr="00AD1496">
        <w:rPr>
          <w:rFonts w:asciiTheme="majorHAnsi" w:hAnsiTheme="majorHAnsi" w:cstheme="majorHAnsi"/>
        </w:rPr>
        <w:t xml:space="preserve"> too late in the process in order to deal with inevitable difficulties in consultations and technical work. </w:t>
      </w:r>
      <w:r w:rsidR="009E2221">
        <w:rPr>
          <w:rFonts w:asciiTheme="majorHAnsi" w:hAnsiTheme="majorHAnsi" w:cstheme="majorHAnsi"/>
        </w:rPr>
        <w:t xml:space="preserve">States </w:t>
      </w:r>
      <w:r w:rsidR="009E2221">
        <w:rPr>
          <w:rFonts w:asciiTheme="majorHAnsi" w:hAnsiTheme="majorHAnsi" w:cstheme="majorHAnsi"/>
        </w:rPr>
        <w:lastRenderedPageBreak/>
        <w:t xml:space="preserve">have </w:t>
      </w:r>
      <w:r w:rsidR="00113CEF">
        <w:rPr>
          <w:rFonts w:asciiTheme="majorHAnsi" w:hAnsiTheme="majorHAnsi" w:cstheme="majorHAnsi"/>
        </w:rPr>
        <w:t xml:space="preserve">also </w:t>
      </w:r>
      <w:r w:rsidR="009E2221">
        <w:rPr>
          <w:rFonts w:asciiTheme="majorHAnsi" w:hAnsiTheme="majorHAnsi" w:cstheme="majorHAnsi"/>
        </w:rPr>
        <w:t xml:space="preserve">commented that WRP development is complicated by the necessary role of the MDBA (who are not a party to the NPA). </w:t>
      </w:r>
      <w:r w:rsidR="00F3765B" w:rsidRPr="00AD1496">
        <w:rPr>
          <w:rFonts w:asciiTheme="majorHAnsi" w:hAnsiTheme="majorHAnsi" w:cstheme="majorHAnsi"/>
        </w:rPr>
        <w:t>The NPA milestones and payments could have been structured to encourage the States to deliver staged reforms, which would have provided stronger incentives during the process to ensure that those processes were on track.</w:t>
      </w:r>
    </w:p>
    <w:p w14:paraId="7E787A6A" w14:textId="77777777" w:rsidR="005E3BBD" w:rsidRPr="00AD1496" w:rsidRDefault="005E3BBD" w:rsidP="00E452CF">
      <w:pPr>
        <w:pStyle w:val="TableHeading"/>
        <w:keepNext/>
        <w:rPr>
          <w:rFonts w:asciiTheme="majorHAnsi" w:hAnsiTheme="majorHAnsi" w:cstheme="majorHAnsi"/>
        </w:rPr>
      </w:pPr>
      <w:bookmarkStart w:id="51" w:name="_Ref23419883"/>
      <w:r w:rsidRPr="00AD1496">
        <w:rPr>
          <w:rFonts w:asciiTheme="majorHAnsi" w:hAnsiTheme="majorHAnsi" w:cstheme="majorHAnsi"/>
        </w:rPr>
        <w:t>IGAFFR principles where the NPA does not align with best practice</w:t>
      </w:r>
      <w:bookmarkEnd w:id="50"/>
      <w:bookmarkEnd w:id="51"/>
    </w:p>
    <w:tbl>
      <w:tblPr>
        <w:tblStyle w:val="ARTDTable"/>
        <w:tblW w:w="0" w:type="auto"/>
        <w:tblLook w:val="04A0" w:firstRow="1" w:lastRow="0" w:firstColumn="1" w:lastColumn="0" w:noHBand="0" w:noVBand="1"/>
      </w:tblPr>
      <w:tblGrid>
        <w:gridCol w:w="435"/>
        <w:gridCol w:w="1918"/>
        <w:gridCol w:w="1134"/>
        <w:gridCol w:w="1559"/>
        <w:gridCol w:w="3967"/>
      </w:tblGrid>
      <w:tr w:rsidR="005E3BBD" w:rsidRPr="00AD1496" w14:paraId="6F60F98D" w14:textId="77777777" w:rsidTr="00AF69F8">
        <w:trPr>
          <w:cnfStyle w:val="100000000000" w:firstRow="1" w:lastRow="0" w:firstColumn="0" w:lastColumn="0" w:oddVBand="0" w:evenVBand="0" w:oddHBand="0" w:evenHBand="0" w:firstRowFirstColumn="0" w:firstRowLastColumn="0" w:lastRowFirstColumn="0" w:lastRowLastColumn="0"/>
        </w:trPr>
        <w:tc>
          <w:tcPr>
            <w:tcW w:w="435" w:type="dxa"/>
          </w:tcPr>
          <w:p w14:paraId="6EFD24BF" w14:textId="77777777" w:rsidR="005E3BBD" w:rsidRPr="00AD1496" w:rsidRDefault="005E3BBD" w:rsidP="00E452CF">
            <w:pPr>
              <w:pStyle w:val="Tablecolumnheading"/>
              <w:keepNext/>
              <w:rPr>
                <w:rFonts w:asciiTheme="majorHAnsi" w:hAnsiTheme="majorHAnsi" w:cstheme="majorHAnsi"/>
                <w:szCs w:val="20"/>
              </w:rPr>
            </w:pPr>
          </w:p>
        </w:tc>
        <w:tc>
          <w:tcPr>
            <w:tcW w:w="1918" w:type="dxa"/>
          </w:tcPr>
          <w:p w14:paraId="0077B77D" w14:textId="77777777" w:rsidR="005E3BBD" w:rsidRPr="00AD1496" w:rsidRDefault="005E3BBD" w:rsidP="00E452CF">
            <w:pPr>
              <w:pStyle w:val="Tablecolumnheading"/>
              <w:keepNext/>
              <w:rPr>
                <w:rFonts w:asciiTheme="majorHAnsi" w:hAnsiTheme="majorHAnsi" w:cstheme="majorHAnsi"/>
                <w:szCs w:val="20"/>
              </w:rPr>
            </w:pPr>
            <w:r w:rsidRPr="00AD1496">
              <w:rPr>
                <w:rFonts w:asciiTheme="majorHAnsi" w:hAnsiTheme="majorHAnsi" w:cstheme="majorHAnsi"/>
                <w:szCs w:val="20"/>
              </w:rPr>
              <w:t>Principle in short</w:t>
            </w:r>
          </w:p>
        </w:tc>
        <w:tc>
          <w:tcPr>
            <w:tcW w:w="1134" w:type="dxa"/>
          </w:tcPr>
          <w:p w14:paraId="0BC6F2E1" w14:textId="77777777" w:rsidR="005E3BBD" w:rsidRPr="00AD1496" w:rsidRDefault="005E3BBD" w:rsidP="00E452CF">
            <w:pPr>
              <w:pStyle w:val="Tablecolumnheading"/>
              <w:keepNext/>
              <w:rPr>
                <w:rFonts w:asciiTheme="majorHAnsi" w:hAnsiTheme="majorHAnsi" w:cstheme="majorHAnsi"/>
                <w:szCs w:val="20"/>
              </w:rPr>
            </w:pPr>
            <w:r w:rsidRPr="00AD1496">
              <w:rPr>
                <w:rFonts w:asciiTheme="majorHAnsi" w:hAnsiTheme="majorHAnsi" w:cstheme="majorHAnsi"/>
                <w:szCs w:val="20"/>
              </w:rPr>
              <w:t>Criteria</w:t>
            </w:r>
          </w:p>
        </w:tc>
        <w:tc>
          <w:tcPr>
            <w:tcW w:w="1559" w:type="dxa"/>
          </w:tcPr>
          <w:p w14:paraId="6A606B9E" w14:textId="77777777" w:rsidR="005E3BBD" w:rsidRPr="00AD1496" w:rsidRDefault="005E3BBD" w:rsidP="00E452CF">
            <w:pPr>
              <w:pStyle w:val="Tablecolumnheading"/>
              <w:keepNext/>
              <w:rPr>
                <w:rFonts w:asciiTheme="majorHAnsi" w:hAnsiTheme="majorHAnsi" w:cstheme="majorHAnsi"/>
                <w:szCs w:val="20"/>
              </w:rPr>
            </w:pPr>
            <w:r w:rsidRPr="00AD1496">
              <w:rPr>
                <w:rFonts w:asciiTheme="majorHAnsi" w:hAnsiTheme="majorHAnsi" w:cstheme="majorHAnsi"/>
                <w:szCs w:val="20"/>
              </w:rPr>
              <w:t>Assessment</w:t>
            </w:r>
          </w:p>
        </w:tc>
        <w:tc>
          <w:tcPr>
            <w:tcW w:w="3967" w:type="dxa"/>
          </w:tcPr>
          <w:p w14:paraId="100D757D" w14:textId="77777777" w:rsidR="005E3BBD" w:rsidRPr="00AD1496" w:rsidRDefault="005E3BBD" w:rsidP="00E452CF">
            <w:pPr>
              <w:pStyle w:val="Tablecolumnheading"/>
              <w:keepNext/>
              <w:rPr>
                <w:rFonts w:asciiTheme="majorHAnsi" w:hAnsiTheme="majorHAnsi" w:cstheme="majorHAnsi"/>
                <w:szCs w:val="20"/>
              </w:rPr>
            </w:pPr>
            <w:r w:rsidRPr="00AD1496">
              <w:rPr>
                <w:rFonts w:asciiTheme="majorHAnsi" w:hAnsiTheme="majorHAnsi" w:cstheme="majorHAnsi"/>
                <w:szCs w:val="20"/>
              </w:rPr>
              <w:t>Comment</w:t>
            </w:r>
          </w:p>
        </w:tc>
      </w:tr>
      <w:tr w:rsidR="005E3BBD" w:rsidRPr="00AD1496" w14:paraId="319EF92B" w14:textId="77777777" w:rsidTr="00AF69F8">
        <w:tc>
          <w:tcPr>
            <w:tcW w:w="435" w:type="dxa"/>
          </w:tcPr>
          <w:p w14:paraId="76527873"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E19</w:t>
            </w:r>
          </w:p>
        </w:tc>
        <w:tc>
          <w:tcPr>
            <w:tcW w:w="1918" w:type="dxa"/>
          </w:tcPr>
          <w:p w14:paraId="54E3D913"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Graduate benchmarks to allow partial payment for partial delivery</w:t>
            </w:r>
          </w:p>
        </w:tc>
        <w:tc>
          <w:tcPr>
            <w:tcW w:w="1134" w:type="dxa"/>
          </w:tcPr>
          <w:p w14:paraId="440B8D23"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Effective</w:t>
            </w:r>
          </w:p>
          <w:p w14:paraId="0A324C63"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Efficient</w:t>
            </w:r>
          </w:p>
          <w:p w14:paraId="46A92F2E"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59" w:type="dxa"/>
          </w:tcPr>
          <w:p w14:paraId="6383E0E9" w14:textId="77777777"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46C58DA3" wp14:editId="23D7854D">
                  <wp:extent cx="900000" cy="4599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000" cy="459964"/>
                          </a:xfrm>
                          <a:prstGeom prst="rect">
                            <a:avLst/>
                          </a:prstGeom>
                          <a:noFill/>
                        </pic:spPr>
                      </pic:pic>
                    </a:graphicData>
                  </a:graphic>
                </wp:inline>
              </w:drawing>
            </w:r>
          </w:p>
        </w:tc>
        <w:tc>
          <w:tcPr>
            <w:tcW w:w="3967" w:type="dxa"/>
          </w:tcPr>
          <w:p w14:paraId="55582562" w14:textId="7C9E84DD" w:rsidR="005E3BBD" w:rsidRPr="00AD1496" w:rsidRDefault="005E3BBD" w:rsidP="00E452CF">
            <w:pPr>
              <w:pStyle w:val="Tablebodytext"/>
              <w:keepNext/>
              <w:rPr>
                <w:rFonts w:asciiTheme="majorHAnsi" w:hAnsiTheme="majorHAnsi" w:cstheme="majorHAnsi"/>
                <w:sz w:val="18"/>
                <w:szCs w:val="18"/>
              </w:rPr>
            </w:pPr>
            <w:r w:rsidRPr="00AD1496">
              <w:rPr>
                <w:rFonts w:asciiTheme="majorHAnsi" w:hAnsiTheme="majorHAnsi" w:cstheme="majorHAnsi"/>
                <w:sz w:val="18"/>
                <w:szCs w:val="18"/>
              </w:rPr>
              <w:t>While partial payment</w:t>
            </w:r>
            <w:r w:rsidR="00C174E1">
              <w:rPr>
                <w:rFonts w:asciiTheme="majorHAnsi" w:hAnsiTheme="majorHAnsi" w:cstheme="majorHAnsi"/>
                <w:sz w:val="18"/>
                <w:szCs w:val="18"/>
              </w:rPr>
              <w:t xml:space="preserve">s were not included in </w:t>
            </w:r>
            <w:r w:rsidRPr="00AD1496">
              <w:rPr>
                <w:rFonts w:asciiTheme="majorHAnsi" w:hAnsiTheme="majorHAnsi" w:cstheme="majorHAnsi"/>
                <w:sz w:val="18"/>
                <w:szCs w:val="18"/>
              </w:rPr>
              <w:t xml:space="preserve">the agreement </w:t>
            </w:r>
            <w:r w:rsidR="00C174E1">
              <w:rPr>
                <w:rFonts w:asciiTheme="majorHAnsi" w:hAnsiTheme="majorHAnsi" w:cstheme="majorHAnsi"/>
                <w:sz w:val="18"/>
                <w:szCs w:val="18"/>
              </w:rPr>
              <w:t>to avoid the risk of States not implementing key aspects of water reform</w:t>
            </w:r>
            <w:r w:rsidRPr="00AD1496">
              <w:rPr>
                <w:rFonts w:asciiTheme="majorHAnsi" w:hAnsiTheme="majorHAnsi" w:cstheme="majorHAnsi"/>
                <w:sz w:val="18"/>
                <w:szCs w:val="18"/>
              </w:rPr>
              <w:t>, not allowing partial payments has been contentious and inadequate for performance management.</w:t>
            </w:r>
          </w:p>
        </w:tc>
      </w:tr>
      <w:tr w:rsidR="005E3BBD" w:rsidRPr="00AD1496" w14:paraId="5088A433" w14:textId="77777777" w:rsidTr="00AF69F8">
        <w:tc>
          <w:tcPr>
            <w:tcW w:w="435" w:type="dxa"/>
          </w:tcPr>
          <w:p w14:paraId="3AC9B4EC" w14:textId="77777777" w:rsidR="005E3BBD" w:rsidRPr="00AD1496" w:rsidRDefault="005E3BBD" w:rsidP="00AF69F8">
            <w:pPr>
              <w:pStyle w:val="Tablebodytext"/>
              <w:rPr>
                <w:rFonts w:asciiTheme="majorHAnsi" w:hAnsiTheme="majorHAnsi" w:cstheme="majorHAnsi"/>
                <w:sz w:val="18"/>
                <w:szCs w:val="18"/>
              </w:rPr>
            </w:pPr>
          </w:p>
        </w:tc>
        <w:tc>
          <w:tcPr>
            <w:tcW w:w="1918" w:type="dxa"/>
          </w:tcPr>
          <w:p w14:paraId="672E9474" w14:textId="449AD9C3"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 xml:space="preserve">Benchmarks should be clear, mutually agreed, ambitious and assessable by the </w:t>
            </w:r>
            <w:r w:rsidR="00C27495" w:rsidRPr="00AD1496">
              <w:rPr>
                <w:rFonts w:asciiTheme="majorHAnsi" w:hAnsiTheme="majorHAnsi" w:cstheme="majorHAnsi"/>
                <w:sz w:val="18"/>
                <w:szCs w:val="18"/>
              </w:rPr>
              <w:t>COAG Reform Council</w:t>
            </w:r>
          </w:p>
        </w:tc>
        <w:tc>
          <w:tcPr>
            <w:tcW w:w="1134" w:type="dxa"/>
          </w:tcPr>
          <w:p w14:paraId="0102145D"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 xml:space="preserve">Effective </w:t>
            </w:r>
          </w:p>
          <w:p w14:paraId="47D3EEAE"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Efficient</w:t>
            </w:r>
          </w:p>
          <w:p w14:paraId="28785A36"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59" w:type="dxa"/>
          </w:tcPr>
          <w:p w14:paraId="2C29961F"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1E21A1B5" wp14:editId="0B456237">
                  <wp:extent cx="900000" cy="4599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000" cy="459964"/>
                          </a:xfrm>
                          <a:prstGeom prst="rect">
                            <a:avLst/>
                          </a:prstGeom>
                          <a:noFill/>
                        </pic:spPr>
                      </pic:pic>
                    </a:graphicData>
                  </a:graphic>
                </wp:inline>
              </w:drawing>
            </w:r>
          </w:p>
        </w:tc>
        <w:tc>
          <w:tcPr>
            <w:tcW w:w="3967" w:type="dxa"/>
          </w:tcPr>
          <w:p w14:paraId="5270E832" w14:textId="4D5821BB" w:rsidR="005E3BBD" w:rsidRPr="00AD1496" w:rsidRDefault="005E3BBD" w:rsidP="00581EC0">
            <w:pPr>
              <w:pStyle w:val="Tablebodytext"/>
              <w:rPr>
                <w:rFonts w:asciiTheme="majorHAnsi" w:hAnsiTheme="majorHAnsi" w:cstheme="majorHAnsi"/>
                <w:sz w:val="18"/>
                <w:szCs w:val="18"/>
              </w:rPr>
            </w:pPr>
            <w:r w:rsidRPr="00AD1496">
              <w:rPr>
                <w:rFonts w:asciiTheme="majorHAnsi" w:hAnsiTheme="majorHAnsi" w:cstheme="majorHAnsi"/>
                <w:sz w:val="18"/>
                <w:szCs w:val="18"/>
              </w:rPr>
              <w:t xml:space="preserve">The NPA’s milestones are not sufficiently clear or tightly defined risking subjective assessment. There is little use of timeframes in the milestones. For example, </w:t>
            </w:r>
            <w:r w:rsidR="00A30A1B" w:rsidRPr="00AD1496">
              <w:rPr>
                <w:rFonts w:asciiTheme="majorHAnsi" w:hAnsiTheme="majorHAnsi" w:cstheme="majorHAnsi"/>
                <w:sz w:val="18"/>
                <w:szCs w:val="18"/>
              </w:rPr>
              <w:t xml:space="preserve">linking </w:t>
            </w:r>
            <w:r w:rsidR="00581EC0" w:rsidRPr="00AD1496">
              <w:rPr>
                <w:rFonts w:asciiTheme="majorHAnsi" w:hAnsiTheme="majorHAnsi" w:cstheme="majorHAnsi"/>
                <w:sz w:val="18"/>
                <w:szCs w:val="18"/>
              </w:rPr>
              <w:t xml:space="preserve">LTWPs </w:t>
            </w:r>
            <w:r w:rsidRPr="00AD1496">
              <w:rPr>
                <w:rFonts w:asciiTheme="majorHAnsi" w:hAnsiTheme="majorHAnsi" w:cstheme="majorHAnsi"/>
                <w:sz w:val="18"/>
                <w:szCs w:val="18"/>
              </w:rPr>
              <w:t xml:space="preserve">to milestones in earlier periods would have provided an incentive to engage earlier in the agreement. Transfer of the NWC’s role following its abolition </w:t>
            </w:r>
            <w:r w:rsidR="00A1761B" w:rsidRPr="00AD1496">
              <w:rPr>
                <w:rFonts w:asciiTheme="majorHAnsi" w:hAnsiTheme="majorHAnsi" w:cstheme="majorHAnsi"/>
                <w:sz w:val="18"/>
                <w:szCs w:val="18"/>
              </w:rPr>
              <w:t xml:space="preserve">to the Department </w:t>
            </w:r>
            <w:r w:rsidR="002073FC" w:rsidRPr="00AD1496">
              <w:rPr>
                <w:rFonts w:asciiTheme="majorHAnsi" w:hAnsiTheme="majorHAnsi" w:cstheme="majorHAnsi"/>
                <w:sz w:val="18"/>
                <w:szCs w:val="18"/>
              </w:rPr>
              <w:t xml:space="preserve">(via the DoE) </w:t>
            </w:r>
            <w:r w:rsidRPr="00AD1496">
              <w:rPr>
                <w:rFonts w:asciiTheme="majorHAnsi" w:hAnsiTheme="majorHAnsi" w:cstheme="majorHAnsi"/>
                <w:sz w:val="18"/>
                <w:szCs w:val="18"/>
              </w:rPr>
              <w:t>removed the third-party assessment</w:t>
            </w:r>
            <w:r w:rsidR="00A30A1B" w:rsidRPr="00AD1496">
              <w:rPr>
                <w:rFonts w:asciiTheme="majorHAnsi" w:hAnsiTheme="majorHAnsi" w:cstheme="majorHAnsi"/>
                <w:sz w:val="18"/>
                <w:szCs w:val="18"/>
              </w:rPr>
              <w:t xml:space="preserve"> function</w:t>
            </w:r>
            <w:r w:rsidRPr="00AD1496">
              <w:rPr>
                <w:rFonts w:asciiTheme="majorHAnsi" w:hAnsiTheme="majorHAnsi" w:cstheme="majorHAnsi"/>
                <w:sz w:val="18"/>
                <w:szCs w:val="18"/>
              </w:rPr>
              <w:t>.</w:t>
            </w:r>
          </w:p>
        </w:tc>
      </w:tr>
      <w:tr w:rsidR="005E3BBD" w:rsidRPr="00AD1496" w14:paraId="643A80FE" w14:textId="77777777" w:rsidTr="00AF69F8">
        <w:tc>
          <w:tcPr>
            <w:tcW w:w="435" w:type="dxa"/>
          </w:tcPr>
          <w:p w14:paraId="251010CB"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D4</w:t>
            </w:r>
          </w:p>
        </w:tc>
        <w:tc>
          <w:tcPr>
            <w:tcW w:w="1918" w:type="dxa"/>
          </w:tcPr>
          <w:p w14:paraId="74611489"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Estimates of Commonwealth own-purpose and State own-purpose expenses should be included</w:t>
            </w:r>
          </w:p>
        </w:tc>
        <w:tc>
          <w:tcPr>
            <w:tcW w:w="1134" w:type="dxa"/>
          </w:tcPr>
          <w:p w14:paraId="4B5DAEF9"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59" w:type="dxa"/>
          </w:tcPr>
          <w:p w14:paraId="640E732D" w14:textId="77777777" w:rsidR="005E3BBD" w:rsidRPr="00AD1496" w:rsidRDefault="005E3BBD" w:rsidP="00AF69F8">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7FD59A10" wp14:editId="40845FF5">
                  <wp:extent cx="900000" cy="4627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000" cy="462733"/>
                          </a:xfrm>
                          <a:prstGeom prst="rect">
                            <a:avLst/>
                          </a:prstGeom>
                          <a:noFill/>
                        </pic:spPr>
                      </pic:pic>
                    </a:graphicData>
                  </a:graphic>
                </wp:inline>
              </w:drawing>
            </w:r>
          </w:p>
        </w:tc>
        <w:tc>
          <w:tcPr>
            <w:tcW w:w="3967" w:type="dxa"/>
          </w:tcPr>
          <w:p w14:paraId="196574B2" w14:textId="2E0FC5D7" w:rsidR="005E3BBD" w:rsidRPr="00AD1496" w:rsidRDefault="005E3BBD" w:rsidP="00D11DBA">
            <w:pPr>
              <w:pStyle w:val="Tablebodytext"/>
              <w:rPr>
                <w:rFonts w:asciiTheme="majorHAnsi" w:hAnsiTheme="majorHAnsi" w:cstheme="majorHAnsi"/>
                <w:sz w:val="18"/>
                <w:szCs w:val="18"/>
              </w:rPr>
            </w:pPr>
            <w:r w:rsidRPr="00AD1496">
              <w:rPr>
                <w:rFonts w:asciiTheme="majorHAnsi" w:hAnsiTheme="majorHAnsi" w:cstheme="majorHAnsi"/>
                <w:sz w:val="18"/>
                <w:szCs w:val="18"/>
              </w:rPr>
              <w:t xml:space="preserve">The NPA could have included total Commonwealth-own and State-own expenditure on implementation of the water reforms. Reporting actual expenditures against forecast expenditures would have increased public </w:t>
            </w:r>
            <w:r w:rsidRPr="00AD1496">
              <w:rPr>
                <w:rFonts w:asciiTheme="majorHAnsi" w:hAnsiTheme="majorHAnsi" w:cstheme="majorHAnsi"/>
                <w:sz w:val="18"/>
                <w:szCs w:val="18"/>
              </w:rPr>
              <w:lastRenderedPageBreak/>
              <w:t>transparency of the reforms.</w:t>
            </w:r>
            <w:r w:rsidR="00CF6CC0" w:rsidRPr="00AD1496">
              <w:rPr>
                <w:rFonts w:asciiTheme="majorHAnsi" w:hAnsiTheme="majorHAnsi" w:cstheme="majorHAnsi"/>
                <w:sz w:val="18"/>
                <w:szCs w:val="18"/>
              </w:rPr>
              <w:t xml:space="preserve"> However, it could be difficult </w:t>
            </w:r>
            <w:r w:rsidR="002D5E96" w:rsidRPr="00AD1496">
              <w:rPr>
                <w:rFonts w:asciiTheme="majorHAnsi" w:hAnsiTheme="majorHAnsi" w:cstheme="majorHAnsi"/>
                <w:sz w:val="18"/>
                <w:szCs w:val="18"/>
              </w:rPr>
              <w:t>to report on State-own expenditure as much of the Basin Plan implementation is linked with States</w:t>
            </w:r>
            <w:r w:rsidR="005D1B1E">
              <w:rPr>
                <w:rFonts w:asciiTheme="majorHAnsi" w:hAnsiTheme="majorHAnsi" w:cstheme="majorHAnsi"/>
                <w:sz w:val="18"/>
                <w:szCs w:val="18"/>
              </w:rPr>
              <w:t>’</w:t>
            </w:r>
            <w:r w:rsidR="002D5E96" w:rsidRPr="00AD1496">
              <w:rPr>
                <w:rFonts w:asciiTheme="majorHAnsi" w:hAnsiTheme="majorHAnsi" w:cstheme="majorHAnsi"/>
                <w:sz w:val="18"/>
                <w:szCs w:val="18"/>
              </w:rPr>
              <w:t xml:space="preserve"> ongoing water operations. </w:t>
            </w:r>
            <w:r w:rsidR="002D5E96" w:rsidRPr="005D1B1E">
              <w:rPr>
                <w:rFonts w:asciiTheme="majorHAnsi" w:hAnsiTheme="majorHAnsi" w:cstheme="majorHAnsi"/>
                <w:sz w:val="18"/>
                <w:szCs w:val="18"/>
              </w:rPr>
              <w:t>It would be a challenge to unpack these in detail for the purpose of annual NPA assessments.</w:t>
            </w:r>
            <w:r w:rsidR="002D5E96" w:rsidRPr="00AD1496">
              <w:rPr>
                <w:rFonts w:asciiTheme="majorHAnsi" w:hAnsiTheme="majorHAnsi" w:cstheme="majorHAnsi"/>
                <w:sz w:val="18"/>
                <w:szCs w:val="18"/>
              </w:rPr>
              <w:t xml:space="preserve"> </w:t>
            </w:r>
          </w:p>
        </w:tc>
      </w:tr>
      <w:tr w:rsidR="00A04A0E" w:rsidRPr="00AD1496" w14:paraId="2D8A61FF" w14:textId="77777777" w:rsidTr="00AF69F8">
        <w:trPr>
          <w:trHeight w:val="3102"/>
        </w:trPr>
        <w:tc>
          <w:tcPr>
            <w:tcW w:w="435" w:type="dxa"/>
          </w:tcPr>
          <w:p w14:paraId="4B3362BE" w14:textId="08819CC6"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lastRenderedPageBreak/>
              <w:t>D35</w:t>
            </w:r>
          </w:p>
          <w:p w14:paraId="6F6808C8" w14:textId="0525CAFC" w:rsidR="00A04A0E" w:rsidRPr="00AD1496" w:rsidRDefault="00A04A0E" w:rsidP="00AF69F8">
            <w:pPr>
              <w:pStyle w:val="Tablebodytext"/>
              <w:rPr>
                <w:rFonts w:asciiTheme="majorHAnsi" w:hAnsiTheme="majorHAnsi" w:cstheme="majorHAnsi"/>
                <w:sz w:val="18"/>
                <w:szCs w:val="18"/>
              </w:rPr>
            </w:pPr>
          </w:p>
          <w:p w14:paraId="15E8CF6F" w14:textId="1F6A9D68" w:rsidR="00A04A0E" w:rsidRPr="00AD1496" w:rsidRDefault="00A04A0E" w:rsidP="00AF69F8">
            <w:pPr>
              <w:pStyle w:val="Tablebodytext"/>
              <w:rPr>
                <w:rFonts w:asciiTheme="majorHAnsi" w:hAnsiTheme="majorHAnsi" w:cstheme="majorHAnsi"/>
                <w:sz w:val="18"/>
                <w:szCs w:val="18"/>
              </w:rPr>
            </w:pPr>
          </w:p>
          <w:p w14:paraId="58256E94" w14:textId="2F100EC4" w:rsidR="00A04A0E" w:rsidRPr="00AD1496" w:rsidRDefault="00A04A0E" w:rsidP="00AF69F8">
            <w:pPr>
              <w:pStyle w:val="Tablebodytext"/>
              <w:rPr>
                <w:rFonts w:asciiTheme="majorHAnsi" w:hAnsiTheme="majorHAnsi" w:cstheme="majorHAnsi"/>
                <w:sz w:val="18"/>
                <w:szCs w:val="18"/>
              </w:rPr>
            </w:pPr>
          </w:p>
          <w:p w14:paraId="1613375E" w14:textId="7A3FD388" w:rsidR="00A04A0E" w:rsidRPr="00AD1496" w:rsidRDefault="00A04A0E" w:rsidP="00AF69F8">
            <w:pPr>
              <w:pStyle w:val="Tablebodytext"/>
              <w:rPr>
                <w:rFonts w:asciiTheme="majorHAnsi" w:hAnsiTheme="majorHAnsi" w:cstheme="majorHAnsi"/>
                <w:sz w:val="18"/>
                <w:szCs w:val="18"/>
              </w:rPr>
            </w:pPr>
          </w:p>
          <w:p w14:paraId="7DA3060F" w14:textId="722C5ED0" w:rsidR="00A04A0E" w:rsidRPr="00AD1496" w:rsidRDefault="00A04A0E" w:rsidP="00AF69F8">
            <w:pPr>
              <w:pStyle w:val="Tablebodytext"/>
              <w:rPr>
                <w:rFonts w:asciiTheme="majorHAnsi" w:hAnsiTheme="majorHAnsi" w:cstheme="majorHAnsi"/>
                <w:sz w:val="18"/>
                <w:szCs w:val="18"/>
              </w:rPr>
            </w:pPr>
          </w:p>
          <w:p w14:paraId="2B3E4B06" w14:textId="77777777" w:rsidR="00A04A0E" w:rsidRPr="00AD1496" w:rsidRDefault="00A04A0E" w:rsidP="00AF69F8">
            <w:pPr>
              <w:pStyle w:val="Tablebodytext"/>
              <w:rPr>
                <w:rFonts w:asciiTheme="majorHAnsi" w:hAnsiTheme="majorHAnsi" w:cstheme="majorHAnsi"/>
                <w:sz w:val="18"/>
                <w:szCs w:val="18"/>
              </w:rPr>
            </w:pPr>
          </w:p>
          <w:p w14:paraId="3373702F" w14:textId="0D5FEEAA"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E24</w:t>
            </w:r>
          </w:p>
        </w:tc>
        <w:tc>
          <w:tcPr>
            <w:tcW w:w="1918" w:type="dxa"/>
          </w:tcPr>
          <w:p w14:paraId="0ED49A0E" w14:textId="77777777"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For reward payments, consideration of the COAG Reform Council’s recommendation before making a part or full payment</w:t>
            </w:r>
          </w:p>
          <w:p w14:paraId="6EA381BB" w14:textId="72987604" w:rsidR="00A04A0E" w:rsidRPr="00AD1496" w:rsidRDefault="00A04A0E" w:rsidP="00C27495">
            <w:pPr>
              <w:pStyle w:val="Tablebodytext"/>
              <w:rPr>
                <w:rFonts w:asciiTheme="majorHAnsi" w:hAnsiTheme="majorHAnsi" w:cstheme="majorHAnsi"/>
                <w:sz w:val="18"/>
                <w:szCs w:val="18"/>
              </w:rPr>
            </w:pPr>
            <w:r w:rsidRPr="00AD1496">
              <w:rPr>
                <w:rFonts w:asciiTheme="majorHAnsi" w:hAnsiTheme="majorHAnsi" w:cstheme="majorHAnsi"/>
                <w:sz w:val="18"/>
                <w:szCs w:val="18"/>
              </w:rPr>
              <w:t>Reward payments not</w:t>
            </w:r>
            <w:r w:rsidR="00901671" w:rsidRPr="00AD1496">
              <w:rPr>
                <w:rFonts w:asciiTheme="majorHAnsi" w:hAnsiTheme="majorHAnsi" w:cstheme="majorHAnsi"/>
                <w:sz w:val="18"/>
                <w:szCs w:val="18"/>
              </w:rPr>
              <w:t xml:space="preserve"> </w:t>
            </w:r>
            <w:r w:rsidRPr="00AD1496">
              <w:rPr>
                <w:rFonts w:asciiTheme="majorHAnsi" w:hAnsiTheme="majorHAnsi" w:cstheme="majorHAnsi"/>
                <w:sz w:val="18"/>
                <w:szCs w:val="18"/>
              </w:rPr>
              <w:t xml:space="preserve">made until independent assessment by </w:t>
            </w:r>
            <w:r w:rsidR="00C27495" w:rsidRPr="00AD1496">
              <w:rPr>
                <w:rFonts w:asciiTheme="majorHAnsi" w:hAnsiTheme="majorHAnsi" w:cstheme="majorHAnsi"/>
                <w:sz w:val="18"/>
                <w:szCs w:val="18"/>
              </w:rPr>
              <w:t xml:space="preserve">the COAG Reform Council </w:t>
            </w:r>
            <w:r w:rsidRPr="00AD1496">
              <w:rPr>
                <w:rFonts w:asciiTheme="majorHAnsi" w:hAnsiTheme="majorHAnsi" w:cstheme="majorHAnsi"/>
                <w:sz w:val="18"/>
                <w:szCs w:val="18"/>
              </w:rPr>
              <w:t>demonstrates achievement</w:t>
            </w:r>
          </w:p>
        </w:tc>
        <w:tc>
          <w:tcPr>
            <w:tcW w:w="1134" w:type="dxa"/>
          </w:tcPr>
          <w:p w14:paraId="11B4C7CA" w14:textId="77777777"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Efficient</w:t>
            </w:r>
          </w:p>
          <w:p w14:paraId="5F6156BD" w14:textId="77777777"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sz w:val="18"/>
                <w:szCs w:val="18"/>
              </w:rPr>
              <w:t>Appropriate</w:t>
            </w:r>
          </w:p>
        </w:tc>
        <w:tc>
          <w:tcPr>
            <w:tcW w:w="1559" w:type="dxa"/>
          </w:tcPr>
          <w:p w14:paraId="34498001" w14:textId="77777777" w:rsidR="00A04A0E" w:rsidRPr="00AD1496" w:rsidRDefault="00A04A0E" w:rsidP="00AF69F8">
            <w:pPr>
              <w:pStyle w:val="Tablebodytext"/>
              <w:rPr>
                <w:rFonts w:asciiTheme="majorHAnsi" w:hAnsiTheme="majorHAnsi" w:cstheme="majorHAnsi"/>
                <w:sz w:val="18"/>
                <w:szCs w:val="18"/>
              </w:rPr>
            </w:pPr>
            <w:r w:rsidRPr="00AD1496">
              <w:rPr>
                <w:rFonts w:asciiTheme="majorHAnsi" w:hAnsiTheme="majorHAnsi" w:cstheme="majorHAnsi"/>
                <w:noProof/>
                <w:sz w:val="18"/>
                <w:szCs w:val="18"/>
                <w:lang w:eastAsia="en-AU"/>
              </w:rPr>
              <w:drawing>
                <wp:inline distT="0" distB="0" distL="0" distR="0" wp14:anchorId="3162157E" wp14:editId="1ADF544C">
                  <wp:extent cx="900000" cy="47357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 cy="473570"/>
                          </a:xfrm>
                          <a:prstGeom prst="rect">
                            <a:avLst/>
                          </a:prstGeom>
                          <a:noFill/>
                        </pic:spPr>
                      </pic:pic>
                    </a:graphicData>
                  </a:graphic>
                </wp:inline>
              </w:drawing>
            </w:r>
          </w:p>
        </w:tc>
        <w:tc>
          <w:tcPr>
            <w:tcW w:w="3967" w:type="dxa"/>
          </w:tcPr>
          <w:p w14:paraId="02C07D0F" w14:textId="6F0052CA" w:rsidR="00A04A0E" w:rsidRPr="00AD1496" w:rsidRDefault="00A04A0E" w:rsidP="00C27495">
            <w:pPr>
              <w:pStyle w:val="Tablebodytext"/>
              <w:rPr>
                <w:rFonts w:asciiTheme="majorHAnsi" w:hAnsiTheme="majorHAnsi" w:cstheme="majorHAnsi"/>
                <w:sz w:val="18"/>
                <w:szCs w:val="18"/>
              </w:rPr>
            </w:pPr>
            <w:r w:rsidRPr="00AD1496">
              <w:rPr>
                <w:rFonts w:asciiTheme="majorHAnsi" w:hAnsiTheme="majorHAnsi" w:cstheme="majorHAnsi"/>
                <w:sz w:val="18"/>
                <w:szCs w:val="18"/>
              </w:rPr>
              <w:t xml:space="preserve">While assessment was initially undertaken by the NWC on behalf of the COAG Reform Council, the function transferred to </w:t>
            </w:r>
            <w:r w:rsidR="00A1761B" w:rsidRPr="00AD1496">
              <w:rPr>
                <w:rFonts w:asciiTheme="majorHAnsi" w:hAnsiTheme="majorHAnsi" w:cstheme="majorHAnsi"/>
                <w:sz w:val="18"/>
                <w:szCs w:val="18"/>
              </w:rPr>
              <w:t>the Department</w:t>
            </w:r>
            <w:r w:rsidR="002073FC" w:rsidRPr="00AD1496">
              <w:rPr>
                <w:rFonts w:asciiTheme="majorHAnsi" w:hAnsiTheme="majorHAnsi" w:cstheme="majorHAnsi"/>
                <w:sz w:val="18"/>
                <w:szCs w:val="18"/>
              </w:rPr>
              <w:t xml:space="preserve"> (via the </w:t>
            </w:r>
            <w:r w:rsidR="00A079B2" w:rsidRPr="00AD1496">
              <w:rPr>
                <w:rFonts w:asciiTheme="majorHAnsi" w:hAnsiTheme="majorHAnsi" w:cstheme="majorHAnsi"/>
                <w:sz w:val="18"/>
                <w:szCs w:val="18"/>
              </w:rPr>
              <w:t>DoE)</w:t>
            </w:r>
            <w:r w:rsidRPr="00AD1496">
              <w:rPr>
                <w:rFonts w:asciiTheme="majorHAnsi" w:hAnsiTheme="majorHAnsi" w:cstheme="majorHAnsi"/>
                <w:sz w:val="18"/>
                <w:szCs w:val="18"/>
              </w:rPr>
              <w:t>. The IGAFFR does not provide a role for the Minister in the case of reward payment</w:t>
            </w:r>
            <w:r w:rsidR="00E749AA" w:rsidRPr="00AD1496">
              <w:rPr>
                <w:rFonts w:asciiTheme="majorHAnsi" w:hAnsiTheme="majorHAnsi" w:cstheme="majorHAnsi"/>
                <w:sz w:val="18"/>
                <w:szCs w:val="18"/>
              </w:rPr>
              <w:t>.</w:t>
            </w:r>
          </w:p>
        </w:tc>
      </w:tr>
    </w:tbl>
    <w:p w14:paraId="2954B3EB" w14:textId="3DC6F85F" w:rsidR="005E3BBD" w:rsidRPr="00AD1496" w:rsidRDefault="005E3BBD" w:rsidP="005E3BBD">
      <w:pPr>
        <w:pStyle w:val="Heading4"/>
        <w:rPr>
          <w:rFonts w:asciiTheme="majorHAnsi" w:hAnsiTheme="majorHAnsi" w:cstheme="majorHAnsi"/>
        </w:rPr>
      </w:pPr>
      <w:r w:rsidRPr="00AD1496">
        <w:rPr>
          <w:rFonts w:asciiTheme="majorHAnsi" w:hAnsiTheme="majorHAnsi" w:cstheme="majorHAnsi"/>
        </w:rPr>
        <w:t>Partial payments</w:t>
      </w:r>
    </w:p>
    <w:p w14:paraId="03F3D041" w14:textId="5CDFBF03" w:rsidR="002500E8" w:rsidRPr="00AD1496" w:rsidRDefault="002500E8" w:rsidP="002500E8">
      <w:pPr>
        <w:rPr>
          <w:rFonts w:asciiTheme="majorHAnsi" w:hAnsiTheme="majorHAnsi" w:cstheme="majorHAnsi"/>
        </w:rPr>
      </w:pPr>
      <w:r w:rsidRPr="00AD1496">
        <w:rPr>
          <w:rFonts w:asciiTheme="majorHAnsi" w:hAnsiTheme="majorHAnsi" w:cstheme="majorHAnsi"/>
        </w:rPr>
        <w:t xml:space="preserve">The NPA is not consistent with the principle of applying graduated benchmarks to allow partial payment for partial delivery (E19, </w:t>
      </w:r>
      <w:r w:rsidRPr="00AD1496">
        <w:rPr>
          <w:rFonts w:asciiTheme="majorHAnsi" w:hAnsiTheme="majorHAnsi" w:cstheme="majorHAnsi"/>
        </w:rPr>
        <w:fldChar w:fldCharType="begin"/>
      </w:r>
      <w:r w:rsidRPr="00AD1496">
        <w:rPr>
          <w:rFonts w:asciiTheme="majorHAnsi" w:hAnsiTheme="majorHAnsi" w:cstheme="majorHAnsi"/>
        </w:rPr>
        <w:instrText xml:space="preserve"> REF _Ref18674159 \r \p \h </w:instrText>
      </w:r>
      <w:r w:rsid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0 above</w:t>
      </w:r>
      <w:r w:rsidRPr="00AD1496">
        <w:rPr>
          <w:rFonts w:asciiTheme="majorHAnsi" w:hAnsiTheme="majorHAnsi" w:cstheme="majorHAnsi"/>
        </w:rPr>
        <w:fldChar w:fldCharType="end"/>
      </w:r>
      <w:r w:rsidRPr="00AD1496">
        <w:rPr>
          <w:rFonts w:asciiTheme="majorHAnsi" w:hAnsiTheme="majorHAnsi" w:cstheme="majorHAnsi"/>
        </w:rPr>
        <w:t>).</w:t>
      </w:r>
    </w:p>
    <w:p w14:paraId="033EA131" w14:textId="2E31E058" w:rsidR="001F5785" w:rsidRPr="00AD1496" w:rsidRDefault="00892B3E" w:rsidP="001F5785">
      <w:pPr>
        <w:rPr>
          <w:rFonts w:asciiTheme="majorHAnsi" w:hAnsiTheme="majorHAnsi" w:cstheme="majorHAnsi"/>
        </w:rPr>
      </w:pPr>
      <w:r w:rsidRPr="00AD1496">
        <w:rPr>
          <w:rFonts w:asciiTheme="majorHAnsi" w:hAnsiTheme="majorHAnsi" w:cstheme="majorHAnsi"/>
        </w:rPr>
        <w:t>While we understand that this design was intentional to ensure that States delivered all milestones of the NPA, not allowing partial payments has been contentious throughout the NPA and inadequate for performance management.</w:t>
      </w:r>
    </w:p>
    <w:p w14:paraId="5D1C4E70" w14:textId="0F9F68A8" w:rsidR="00D44B6B" w:rsidRPr="00AD1496" w:rsidRDefault="00D44B6B" w:rsidP="00D44B6B">
      <w:pPr>
        <w:rPr>
          <w:rFonts w:asciiTheme="majorHAnsi" w:hAnsiTheme="majorHAnsi" w:cstheme="majorHAnsi"/>
        </w:rPr>
      </w:pPr>
      <w:r w:rsidRPr="00AD1496">
        <w:rPr>
          <w:rFonts w:asciiTheme="majorHAnsi" w:hAnsiTheme="majorHAnsi" w:cstheme="majorHAnsi"/>
        </w:rPr>
        <w:lastRenderedPageBreak/>
        <w:t>The mid-term review and an ANAO audit recommended renegotiating the NPA because it was inadequate for performance management in not allowing for partial payments. We agree with the Department's response that it would have been too difficult and time-consuming late in the life of the NPA to renegotiate the current NPA.</w:t>
      </w:r>
      <w:r w:rsidR="0047615A" w:rsidRPr="00AD1496">
        <w:rPr>
          <w:rFonts w:asciiTheme="majorHAnsi" w:hAnsiTheme="majorHAnsi" w:cstheme="majorHAnsi"/>
        </w:rPr>
        <w:t xml:space="preserve"> A</w:t>
      </w:r>
      <w:r w:rsidRPr="00AD1496">
        <w:rPr>
          <w:rFonts w:asciiTheme="majorHAnsi" w:hAnsiTheme="majorHAnsi" w:cstheme="majorHAnsi"/>
        </w:rPr>
        <w:t>ny future NPA should contain a better payment structure that is linked to tightly specified and outcomes-focussed milestones.</w:t>
      </w:r>
    </w:p>
    <w:p w14:paraId="64C2E42E" w14:textId="371799A3" w:rsidR="005E3BBD" w:rsidRPr="00AD1496" w:rsidRDefault="005E3BBD" w:rsidP="005E3BBD">
      <w:pPr>
        <w:pStyle w:val="Heading4"/>
        <w:rPr>
          <w:rFonts w:asciiTheme="majorHAnsi" w:hAnsiTheme="majorHAnsi" w:cstheme="majorHAnsi"/>
        </w:rPr>
      </w:pPr>
      <w:r w:rsidRPr="00AD1496">
        <w:rPr>
          <w:rFonts w:asciiTheme="majorHAnsi" w:hAnsiTheme="majorHAnsi" w:cstheme="majorHAnsi"/>
        </w:rPr>
        <w:t>Clear, ambitious and well-articulated milestones</w:t>
      </w:r>
    </w:p>
    <w:p w14:paraId="190D11F7" w14:textId="4C5FCEC2" w:rsidR="00892B3E" w:rsidRPr="00AD1496" w:rsidRDefault="00892B3E" w:rsidP="001F5785">
      <w:pPr>
        <w:rPr>
          <w:rFonts w:asciiTheme="majorHAnsi" w:hAnsiTheme="majorHAnsi" w:cstheme="majorHAnsi"/>
        </w:rPr>
      </w:pPr>
      <w:r w:rsidRPr="00AD1496">
        <w:rPr>
          <w:rFonts w:asciiTheme="majorHAnsi" w:hAnsiTheme="majorHAnsi" w:cstheme="majorHAnsi"/>
        </w:rPr>
        <w:t>The NPA’s milestones are not consistent with the principles of best practice in that they are not sufficient</w:t>
      </w:r>
      <w:r w:rsidR="00E9196F" w:rsidRPr="00AD1496">
        <w:rPr>
          <w:rFonts w:asciiTheme="majorHAnsi" w:hAnsiTheme="majorHAnsi" w:cstheme="majorHAnsi"/>
        </w:rPr>
        <w:t>ly</w:t>
      </w:r>
      <w:r w:rsidRPr="00AD1496">
        <w:rPr>
          <w:rFonts w:asciiTheme="majorHAnsi" w:hAnsiTheme="majorHAnsi" w:cstheme="majorHAnsi"/>
        </w:rPr>
        <w:t xml:space="preserve"> clear or tightly defined (E19, </w:t>
      </w:r>
      <w:r w:rsidRPr="00AD1496">
        <w:rPr>
          <w:rFonts w:asciiTheme="majorHAnsi" w:hAnsiTheme="majorHAnsi" w:cstheme="majorHAnsi"/>
        </w:rPr>
        <w:fldChar w:fldCharType="begin"/>
      </w:r>
      <w:r w:rsidRPr="00AD1496">
        <w:rPr>
          <w:rFonts w:asciiTheme="majorHAnsi" w:hAnsiTheme="majorHAnsi" w:cstheme="majorHAnsi"/>
        </w:rPr>
        <w:instrText xml:space="preserve"> REF _Ref18674159 \r \p \h </w:instrText>
      </w:r>
      <w:r w:rsidR="00D42325" w:rsidRP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0 above</w:t>
      </w:r>
      <w:r w:rsidRPr="00AD1496">
        <w:rPr>
          <w:rFonts w:asciiTheme="majorHAnsi" w:hAnsiTheme="majorHAnsi" w:cstheme="majorHAnsi"/>
        </w:rPr>
        <w:fldChar w:fldCharType="end"/>
      </w:r>
      <w:r w:rsidRPr="00AD1496">
        <w:rPr>
          <w:rFonts w:asciiTheme="majorHAnsi" w:hAnsiTheme="majorHAnsi" w:cstheme="majorHAnsi"/>
        </w:rPr>
        <w:t xml:space="preserve">). There is little use of timeframes in the milestones which would allow sequencing of tasks and prerequisites for attainment of payment over time. For example, </w:t>
      </w:r>
      <w:r w:rsidR="003F52F0" w:rsidRPr="00AD1496">
        <w:rPr>
          <w:rFonts w:asciiTheme="majorHAnsi" w:hAnsiTheme="majorHAnsi" w:cstheme="majorHAnsi"/>
        </w:rPr>
        <w:t>WRP preparation was not included as a milestone in the NPA, even though WRPs are central to implementation of the Basin Plan. L</w:t>
      </w:r>
      <w:r w:rsidRPr="00AD1496">
        <w:rPr>
          <w:rFonts w:asciiTheme="majorHAnsi" w:hAnsiTheme="majorHAnsi" w:cstheme="majorHAnsi"/>
        </w:rPr>
        <w:t xml:space="preserve">inking early engagement with </w:t>
      </w:r>
      <w:r w:rsidR="00A30A1B" w:rsidRPr="00AD1496">
        <w:rPr>
          <w:rFonts w:asciiTheme="majorHAnsi" w:hAnsiTheme="majorHAnsi" w:cstheme="majorHAnsi"/>
        </w:rPr>
        <w:t xml:space="preserve">the </w:t>
      </w:r>
      <w:r w:rsidRPr="00AD1496">
        <w:rPr>
          <w:rFonts w:asciiTheme="majorHAnsi" w:hAnsiTheme="majorHAnsi" w:cstheme="majorHAnsi"/>
        </w:rPr>
        <w:t xml:space="preserve">drafting </w:t>
      </w:r>
      <w:r w:rsidR="00A30A1B" w:rsidRPr="00AD1496">
        <w:rPr>
          <w:rFonts w:asciiTheme="majorHAnsi" w:hAnsiTheme="majorHAnsi" w:cstheme="majorHAnsi"/>
        </w:rPr>
        <w:t xml:space="preserve">of </w:t>
      </w:r>
      <w:r w:rsidRPr="00AD1496">
        <w:rPr>
          <w:rFonts w:asciiTheme="majorHAnsi" w:hAnsiTheme="majorHAnsi" w:cstheme="majorHAnsi"/>
        </w:rPr>
        <w:t xml:space="preserve">WRPs to later payments and </w:t>
      </w:r>
      <w:r w:rsidRPr="00AD1496">
        <w:rPr>
          <w:rFonts w:asciiTheme="majorHAnsi" w:hAnsiTheme="majorHAnsi" w:cstheme="majorHAnsi"/>
        </w:rPr>
        <w:lastRenderedPageBreak/>
        <w:t xml:space="preserve">milestones would have provided an incentive to make progress earlier in the agreement. </w:t>
      </w:r>
    </w:p>
    <w:p w14:paraId="480CF55D" w14:textId="6C089FA4" w:rsidR="00E749AA" w:rsidRPr="00AD1496" w:rsidRDefault="00E749AA" w:rsidP="00E749AA">
      <w:pPr>
        <w:rPr>
          <w:rFonts w:asciiTheme="majorHAnsi" w:hAnsiTheme="majorHAnsi" w:cstheme="majorHAnsi"/>
        </w:rPr>
      </w:pPr>
      <w:r w:rsidRPr="00AD1496">
        <w:rPr>
          <w:rFonts w:asciiTheme="majorHAnsi" w:hAnsiTheme="majorHAnsi" w:cstheme="majorHAnsi"/>
        </w:rPr>
        <w:t xml:space="preserve">The operation and efficiency of the implementation of the NPA was affected by the pivotal events of 2017, including public scrutiny and related inquiries, as mentioned above. Initially, the </w:t>
      </w:r>
      <w:r w:rsidR="003F52F0" w:rsidRPr="00AD1496">
        <w:rPr>
          <w:rFonts w:asciiTheme="majorHAnsi" w:hAnsiTheme="majorHAnsi" w:cstheme="majorHAnsi"/>
        </w:rPr>
        <w:t xml:space="preserve">assessment </w:t>
      </w:r>
      <w:r w:rsidRPr="00AD1496">
        <w:rPr>
          <w:rFonts w:asciiTheme="majorHAnsi" w:hAnsiTheme="majorHAnsi" w:cstheme="majorHAnsi"/>
        </w:rPr>
        <w:t xml:space="preserve">reporting was </w:t>
      </w:r>
      <w:r w:rsidR="003F52F0" w:rsidRPr="00AD1496">
        <w:rPr>
          <w:rFonts w:asciiTheme="majorHAnsi" w:hAnsiTheme="majorHAnsi" w:cstheme="majorHAnsi"/>
        </w:rPr>
        <w:t xml:space="preserve">less </w:t>
      </w:r>
      <w:r w:rsidRPr="00AD1496">
        <w:rPr>
          <w:rFonts w:asciiTheme="majorHAnsi" w:hAnsiTheme="majorHAnsi" w:cstheme="majorHAnsi"/>
        </w:rPr>
        <w:t>extensive, with some stakeholders raising doubts about milestone selection and reflecting that they duplicated existing policy commitments made by States (for example, NWI compliance). Following this, States reported a shift towards more detailed and compliance-focused assessment arrangements and increased scrutiny in the face of public interest and associated Ministerial inquiry into the achievement of the NPA’s objective.</w:t>
      </w:r>
    </w:p>
    <w:p w14:paraId="599F3E7B" w14:textId="11467C8C" w:rsidR="00D44B6B" w:rsidRPr="00AD1496" w:rsidRDefault="00D44B6B" w:rsidP="00D44B6B">
      <w:pPr>
        <w:rPr>
          <w:rFonts w:asciiTheme="majorHAnsi" w:hAnsiTheme="majorHAnsi" w:cstheme="majorHAnsi"/>
        </w:rPr>
      </w:pPr>
      <w:r w:rsidRPr="00AD1496">
        <w:rPr>
          <w:rFonts w:asciiTheme="majorHAnsi" w:hAnsiTheme="majorHAnsi" w:cstheme="majorHAnsi"/>
        </w:rPr>
        <w:t xml:space="preserve">The NPA milestones were designed to help facilitate </w:t>
      </w:r>
      <w:r w:rsidR="00EC74A6" w:rsidRPr="00AD1496">
        <w:rPr>
          <w:rFonts w:asciiTheme="majorHAnsi" w:hAnsiTheme="majorHAnsi" w:cstheme="majorHAnsi"/>
        </w:rPr>
        <w:t>S</w:t>
      </w:r>
      <w:r w:rsidRPr="00AD1496">
        <w:rPr>
          <w:rFonts w:asciiTheme="majorHAnsi" w:hAnsiTheme="majorHAnsi" w:cstheme="majorHAnsi"/>
        </w:rPr>
        <w:t>tate participation and to guide planning and early activity. States agree that the expected standards and outcomes of the NPA were sufficiently clear at the outset for them to agree to enter into the NPA</w:t>
      </w:r>
      <w:r w:rsidR="00467436" w:rsidRPr="00AD1496">
        <w:rPr>
          <w:rFonts w:asciiTheme="majorHAnsi" w:hAnsiTheme="majorHAnsi" w:cstheme="majorHAnsi"/>
        </w:rPr>
        <w:t xml:space="preserve">. </w:t>
      </w:r>
      <w:r w:rsidRPr="00AD1496">
        <w:rPr>
          <w:rFonts w:asciiTheme="majorHAnsi" w:hAnsiTheme="majorHAnsi" w:cstheme="majorHAnsi"/>
        </w:rPr>
        <w:t xml:space="preserve">Basin States also reported that </w:t>
      </w:r>
      <w:r w:rsidRPr="00AD1496">
        <w:rPr>
          <w:rFonts w:asciiTheme="majorHAnsi" w:hAnsiTheme="majorHAnsi" w:cstheme="majorHAnsi"/>
        </w:rPr>
        <w:lastRenderedPageBreak/>
        <w:t>they had a clear idea of the objective—providing funds to implement water reform in the MDB, including the development of WRPs consistent with the Basin Plan.</w:t>
      </w:r>
    </w:p>
    <w:p w14:paraId="4D2CC7B4" w14:textId="77777777" w:rsidR="00D44B6B" w:rsidRPr="00AD1496" w:rsidRDefault="00D44B6B" w:rsidP="00D44B6B">
      <w:pPr>
        <w:rPr>
          <w:rFonts w:asciiTheme="majorHAnsi" w:hAnsiTheme="majorHAnsi" w:cstheme="majorHAnsi"/>
        </w:rPr>
      </w:pPr>
      <w:r w:rsidRPr="00AD1496">
        <w:rPr>
          <w:rFonts w:asciiTheme="majorHAnsi" w:hAnsiTheme="majorHAnsi" w:cstheme="majorHAnsi"/>
        </w:rPr>
        <w:t xml:space="preserve">However, it was unclear what some components of the Basin Plan would involve when the NPA was drawn up and so milestones needed to be broad enough to encompass all possibilities. States noted in the review that in hindsight the milestones were not well specified. They described them as broad, ambiguous and not lending themselves to action to achieve them. </w:t>
      </w:r>
    </w:p>
    <w:p w14:paraId="49F6281F" w14:textId="18737657" w:rsidR="00D44B6B" w:rsidRPr="00AD1496" w:rsidRDefault="00D44B6B" w:rsidP="00D44B6B">
      <w:pPr>
        <w:rPr>
          <w:rFonts w:asciiTheme="majorHAnsi" w:hAnsiTheme="majorHAnsi" w:cstheme="majorHAnsi"/>
        </w:rPr>
      </w:pPr>
      <w:r w:rsidRPr="00AD1496">
        <w:rPr>
          <w:rFonts w:asciiTheme="majorHAnsi" w:hAnsiTheme="majorHAnsi" w:cstheme="majorHAnsi"/>
        </w:rPr>
        <w:t>The milestones are phrased</w:t>
      </w:r>
      <w:r w:rsidR="00B866B8" w:rsidRPr="00AD1496">
        <w:rPr>
          <w:rFonts w:asciiTheme="majorHAnsi" w:hAnsiTheme="majorHAnsi" w:cstheme="majorHAnsi"/>
        </w:rPr>
        <w:t>, in part,</w:t>
      </w:r>
      <w:r w:rsidRPr="00AD1496">
        <w:rPr>
          <w:rFonts w:asciiTheme="majorHAnsi" w:hAnsiTheme="majorHAnsi" w:cstheme="majorHAnsi"/>
        </w:rPr>
        <w:t xml:space="preserve"> using terms which are open to interpretation and are not defined in the agreement. These terms open assessment of States’ progress in implementing the milestones up to discretion and subjectivity. For example, terms such as ‘supported’ and ‘impede’ (milestone 6), ‘consistent’ (milestone 7), ‘cooperated’ and ‘facilitate’ (milestone 8). The milestones consistently only require ‘confirmation’ and do </w:t>
      </w:r>
      <w:r w:rsidR="00BB6FC1">
        <w:rPr>
          <w:rFonts w:asciiTheme="majorHAnsi" w:hAnsiTheme="majorHAnsi" w:cstheme="majorHAnsi"/>
        </w:rPr>
        <w:t xml:space="preserve">not </w:t>
      </w:r>
      <w:r w:rsidRPr="00AD1496">
        <w:rPr>
          <w:rFonts w:asciiTheme="majorHAnsi" w:hAnsiTheme="majorHAnsi" w:cstheme="majorHAnsi"/>
        </w:rPr>
        <w:t>specify what evidence of action is required.</w:t>
      </w:r>
    </w:p>
    <w:p w14:paraId="0A944890" w14:textId="369BA760" w:rsidR="00A04A0E" w:rsidRPr="00AD1496" w:rsidRDefault="00A04A0E" w:rsidP="00A04A0E">
      <w:pPr>
        <w:pStyle w:val="Heading4"/>
        <w:rPr>
          <w:rFonts w:asciiTheme="majorHAnsi" w:hAnsiTheme="majorHAnsi" w:cstheme="majorHAnsi"/>
        </w:rPr>
      </w:pPr>
      <w:r w:rsidRPr="00AD1496">
        <w:rPr>
          <w:rFonts w:asciiTheme="majorHAnsi" w:hAnsiTheme="majorHAnsi" w:cstheme="majorHAnsi"/>
        </w:rPr>
        <w:lastRenderedPageBreak/>
        <w:t>Reporting on expenditure</w:t>
      </w:r>
    </w:p>
    <w:p w14:paraId="2632BB0D" w14:textId="29FD7C5B" w:rsidR="001F5785" w:rsidRPr="00AD1B2F" w:rsidRDefault="00AF69F8" w:rsidP="001F5785">
      <w:pPr>
        <w:rPr>
          <w:rFonts w:asciiTheme="majorHAnsi" w:hAnsiTheme="majorHAnsi" w:cstheme="majorHAnsi"/>
        </w:rPr>
      </w:pPr>
      <w:r w:rsidRPr="00AD1496">
        <w:rPr>
          <w:rFonts w:asciiTheme="majorHAnsi" w:hAnsiTheme="majorHAnsi" w:cstheme="majorHAnsi"/>
        </w:rPr>
        <w:t xml:space="preserve">The IGAFFR principles suggest that estimates of Commonwealth own-purpose and State own-purpose expenses should be included in the agreement </w:t>
      </w:r>
      <w:r w:rsidR="00892B3E" w:rsidRPr="00AD1496">
        <w:rPr>
          <w:rFonts w:asciiTheme="majorHAnsi" w:hAnsiTheme="majorHAnsi" w:cstheme="majorHAnsi"/>
        </w:rPr>
        <w:t xml:space="preserve">(D4, </w:t>
      </w:r>
      <w:r w:rsidR="00892B3E" w:rsidRPr="00AD1496">
        <w:rPr>
          <w:rFonts w:asciiTheme="majorHAnsi" w:hAnsiTheme="majorHAnsi" w:cstheme="majorHAnsi"/>
        </w:rPr>
        <w:fldChar w:fldCharType="begin"/>
      </w:r>
      <w:r w:rsidR="00892B3E" w:rsidRPr="00AD1496">
        <w:rPr>
          <w:rFonts w:asciiTheme="majorHAnsi" w:hAnsiTheme="majorHAnsi" w:cstheme="majorHAnsi"/>
        </w:rPr>
        <w:instrText xml:space="preserve"> REF _Ref18674159 \r \p \h </w:instrText>
      </w:r>
      <w:r w:rsidR="00AD1496">
        <w:rPr>
          <w:rFonts w:asciiTheme="majorHAnsi" w:hAnsiTheme="majorHAnsi" w:cstheme="majorHAnsi"/>
        </w:rPr>
        <w:instrText xml:space="preserve"> \* MERGEFORMAT </w:instrText>
      </w:r>
      <w:r w:rsidR="00892B3E" w:rsidRPr="00AD1496">
        <w:rPr>
          <w:rFonts w:asciiTheme="majorHAnsi" w:hAnsiTheme="majorHAnsi" w:cstheme="majorHAnsi"/>
        </w:rPr>
      </w:r>
      <w:r w:rsidR="00892B3E" w:rsidRPr="00AD1496">
        <w:rPr>
          <w:rFonts w:asciiTheme="majorHAnsi" w:hAnsiTheme="majorHAnsi" w:cstheme="majorHAnsi"/>
        </w:rPr>
        <w:fldChar w:fldCharType="separate"/>
      </w:r>
      <w:r w:rsidR="00DF313B">
        <w:rPr>
          <w:rFonts w:asciiTheme="majorHAnsi" w:hAnsiTheme="majorHAnsi" w:cstheme="majorHAnsi"/>
        </w:rPr>
        <w:t>0 above</w:t>
      </w:r>
      <w:r w:rsidR="00892B3E" w:rsidRPr="00AD1496">
        <w:rPr>
          <w:rFonts w:asciiTheme="majorHAnsi" w:hAnsiTheme="majorHAnsi" w:cstheme="majorHAnsi"/>
        </w:rPr>
        <w:fldChar w:fldCharType="end"/>
      </w:r>
      <w:r w:rsidR="00892B3E" w:rsidRPr="00AD1496">
        <w:rPr>
          <w:rFonts w:asciiTheme="majorHAnsi" w:hAnsiTheme="majorHAnsi" w:cstheme="majorHAnsi"/>
        </w:rPr>
        <w:t>)</w:t>
      </w:r>
      <w:r w:rsidRPr="00AD1496">
        <w:rPr>
          <w:rFonts w:asciiTheme="majorHAnsi" w:hAnsiTheme="majorHAnsi" w:cstheme="majorHAnsi"/>
        </w:rPr>
        <w:t>. The NPA could have included reporting on this expenditure in implementing the water reforms, especially actual against forecast expenditure</w:t>
      </w:r>
      <w:r w:rsidR="00D42325" w:rsidRPr="00AD1496">
        <w:rPr>
          <w:rFonts w:asciiTheme="majorHAnsi" w:hAnsiTheme="majorHAnsi" w:cstheme="majorHAnsi"/>
        </w:rPr>
        <w:t>,</w:t>
      </w:r>
      <w:r w:rsidRPr="00AD1496">
        <w:rPr>
          <w:rFonts w:asciiTheme="majorHAnsi" w:hAnsiTheme="majorHAnsi" w:cstheme="majorHAnsi"/>
        </w:rPr>
        <w:t xml:space="preserve"> which would have increase</w:t>
      </w:r>
      <w:r w:rsidR="00D42325" w:rsidRPr="00AD1496">
        <w:rPr>
          <w:rFonts w:asciiTheme="majorHAnsi" w:hAnsiTheme="majorHAnsi" w:cstheme="majorHAnsi"/>
        </w:rPr>
        <w:t>d</w:t>
      </w:r>
      <w:r w:rsidRPr="00AD1496">
        <w:rPr>
          <w:rFonts w:asciiTheme="majorHAnsi" w:hAnsiTheme="majorHAnsi" w:cstheme="majorHAnsi"/>
        </w:rPr>
        <w:t xml:space="preserve"> public transparency of the </w:t>
      </w:r>
      <w:r w:rsidRPr="00AD1B2F">
        <w:rPr>
          <w:rFonts w:asciiTheme="majorHAnsi" w:hAnsiTheme="majorHAnsi" w:cstheme="majorHAnsi"/>
        </w:rPr>
        <w:t>reforms.</w:t>
      </w:r>
      <w:r w:rsidR="00AD1B2F" w:rsidRPr="00AD1B2F">
        <w:rPr>
          <w:rFonts w:asciiTheme="majorHAnsi" w:hAnsiTheme="majorHAnsi" w:cstheme="majorHAnsi"/>
        </w:rPr>
        <w:t xml:space="preserve"> However, it </w:t>
      </w:r>
      <w:r w:rsidR="00AD1B2F">
        <w:rPr>
          <w:rFonts w:asciiTheme="majorHAnsi" w:hAnsiTheme="majorHAnsi" w:cstheme="majorHAnsi"/>
        </w:rPr>
        <w:t>w</w:t>
      </w:r>
      <w:r w:rsidR="00AD1B2F" w:rsidRPr="00AD1B2F">
        <w:rPr>
          <w:rFonts w:asciiTheme="majorHAnsi" w:hAnsiTheme="majorHAnsi" w:cstheme="majorHAnsi"/>
        </w:rPr>
        <w:t xml:space="preserve">ould be difficult to report on State-own expenditure as much of the Basin Plan implementation is linked with States’ ongoing water operations. It would be a challenge to unpack these in detail for the purpose of annual NPA assessments. </w:t>
      </w:r>
    </w:p>
    <w:p w14:paraId="624B0B17" w14:textId="0D140FCD" w:rsidR="00A04A0E" w:rsidRPr="00AD1496" w:rsidRDefault="00A04A0E" w:rsidP="00A04A0E">
      <w:pPr>
        <w:pStyle w:val="Heading4"/>
        <w:rPr>
          <w:rFonts w:asciiTheme="majorHAnsi" w:hAnsiTheme="majorHAnsi" w:cstheme="majorHAnsi"/>
        </w:rPr>
      </w:pPr>
      <w:r w:rsidRPr="00AD1496">
        <w:rPr>
          <w:rFonts w:asciiTheme="majorHAnsi" w:hAnsiTheme="majorHAnsi" w:cstheme="majorHAnsi"/>
        </w:rPr>
        <w:t xml:space="preserve">Role for </w:t>
      </w:r>
      <w:r w:rsidR="00D11DBA">
        <w:rPr>
          <w:rFonts w:asciiTheme="majorHAnsi" w:hAnsiTheme="majorHAnsi" w:cstheme="majorHAnsi"/>
        </w:rPr>
        <w:t>independent assessment</w:t>
      </w:r>
      <w:r w:rsidR="00D44B6B" w:rsidRPr="00AD1496">
        <w:rPr>
          <w:rFonts w:asciiTheme="majorHAnsi" w:hAnsiTheme="majorHAnsi" w:cstheme="majorHAnsi"/>
        </w:rPr>
        <w:t xml:space="preserve"> and reward payments</w:t>
      </w:r>
    </w:p>
    <w:p w14:paraId="04E38748" w14:textId="23DF5120" w:rsidR="00512C05" w:rsidRPr="00AD1496" w:rsidRDefault="00E749AA" w:rsidP="00D44B6B">
      <w:pPr>
        <w:rPr>
          <w:rFonts w:asciiTheme="majorHAnsi" w:hAnsiTheme="majorHAnsi" w:cstheme="majorHAnsi"/>
        </w:rPr>
      </w:pPr>
      <w:r w:rsidRPr="00AD1496">
        <w:rPr>
          <w:rFonts w:asciiTheme="majorHAnsi" w:hAnsiTheme="majorHAnsi" w:cstheme="majorHAnsi"/>
        </w:rPr>
        <w:t>The NPA was</w:t>
      </w:r>
      <w:r w:rsidR="0047615A" w:rsidRPr="00AD1496">
        <w:rPr>
          <w:rFonts w:asciiTheme="majorHAnsi" w:hAnsiTheme="majorHAnsi" w:cstheme="majorHAnsi"/>
        </w:rPr>
        <w:t xml:space="preserve"> </w:t>
      </w:r>
      <w:r w:rsidRPr="00AD1496">
        <w:rPr>
          <w:rFonts w:asciiTheme="majorHAnsi" w:hAnsiTheme="majorHAnsi" w:cstheme="majorHAnsi"/>
        </w:rPr>
        <w:t xml:space="preserve">consistent with principles D35 and E24 of the IGAFFR </w:t>
      </w:r>
      <w:r w:rsidR="00A6356F" w:rsidRPr="00AD1496">
        <w:rPr>
          <w:rFonts w:asciiTheme="majorHAnsi" w:hAnsiTheme="majorHAnsi" w:cstheme="majorHAnsi"/>
        </w:rPr>
        <w:t>(</w:t>
      </w:r>
      <w:r w:rsidR="00A6356F" w:rsidRPr="00AD1496">
        <w:rPr>
          <w:rFonts w:asciiTheme="majorHAnsi" w:hAnsiTheme="majorHAnsi" w:cstheme="majorHAnsi"/>
        </w:rPr>
        <w:fldChar w:fldCharType="begin"/>
      </w:r>
      <w:r w:rsidR="00A6356F" w:rsidRPr="00AD1496">
        <w:rPr>
          <w:rFonts w:asciiTheme="majorHAnsi" w:hAnsiTheme="majorHAnsi" w:cstheme="majorHAnsi"/>
        </w:rPr>
        <w:instrText xml:space="preserve"> REF _Ref18674159 \r \p \h </w:instrText>
      </w:r>
      <w:r w:rsidR="00AD1496">
        <w:rPr>
          <w:rFonts w:asciiTheme="majorHAnsi" w:hAnsiTheme="majorHAnsi" w:cstheme="majorHAnsi"/>
        </w:rPr>
        <w:instrText xml:space="preserve"> \* MERGEFORMAT </w:instrText>
      </w:r>
      <w:r w:rsidR="00A6356F" w:rsidRPr="00AD1496">
        <w:rPr>
          <w:rFonts w:asciiTheme="majorHAnsi" w:hAnsiTheme="majorHAnsi" w:cstheme="majorHAnsi"/>
        </w:rPr>
      </w:r>
      <w:r w:rsidR="00A6356F" w:rsidRPr="00AD1496">
        <w:rPr>
          <w:rFonts w:asciiTheme="majorHAnsi" w:hAnsiTheme="majorHAnsi" w:cstheme="majorHAnsi"/>
        </w:rPr>
        <w:fldChar w:fldCharType="separate"/>
      </w:r>
      <w:r w:rsidR="00DF313B">
        <w:rPr>
          <w:rFonts w:asciiTheme="majorHAnsi" w:hAnsiTheme="majorHAnsi" w:cstheme="majorHAnsi"/>
        </w:rPr>
        <w:t>0 above</w:t>
      </w:r>
      <w:r w:rsidR="00A6356F" w:rsidRPr="00AD1496">
        <w:rPr>
          <w:rFonts w:asciiTheme="majorHAnsi" w:hAnsiTheme="majorHAnsi" w:cstheme="majorHAnsi"/>
        </w:rPr>
        <w:fldChar w:fldCharType="end"/>
      </w:r>
      <w:r w:rsidR="00A6356F" w:rsidRPr="00AD1496">
        <w:rPr>
          <w:rFonts w:asciiTheme="majorHAnsi" w:hAnsiTheme="majorHAnsi" w:cstheme="majorHAnsi"/>
        </w:rPr>
        <w:t>)</w:t>
      </w:r>
      <w:bookmarkStart w:id="52" w:name="_Ref18592357"/>
      <w:r w:rsidRPr="00AD1496">
        <w:rPr>
          <w:rFonts w:asciiTheme="majorHAnsi" w:hAnsiTheme="majorHAnsi" w:cstheme="majorHAnsi"/>
        </w:rPr>
        <w:t xml:space="preserve"> until the assessment role transferred away from the NWC to </w:t>
      </w:r>
      <w:r w:rsidR="00A1761B" w:rsidRPr="00AD1496">
        <w:rPr>
          <w:rFonts w:asciiTheme="majorHAnsi" w:hAnsiTheme="majorHAnsi" w:cstheme="majorHAnsi"/>
        </w:rPr>
        <w:t>the Department</w:t>
      </w:r>
      <w:r w:rsidR="00D06F58" w:rsidRPr="00AD1496">
        <w:rPr>
          <w:rFonts w:asciiTheme="majorHAnsi" w:hAnsiTheme="majorHAnsi" w:cstheme="majorHAnsi"/>
        </w:rPr>
        <w:t xml:space="preserve"> (via DoE)</w:t>
      </w:r>
      <w:r w:rsidRPr="00AD1496">
        <w:rPr>
          <w:rFonts w:asciiTheme="majorHAnsi" w:hAnsiTheme="majorHAnsi" w:cstheme="majorHAnsi"/>
        </w:rPr>
        <w:t xml:space="preserve">. The IGAFFR also does not provide a role for the Minister in </w:t>
      </w:r>
      <w:r w:rsidRPr="00AD1496">
        <w:rPr>
          <w:rFonts w:asciiTheme="majorHAnsi" w:hAnsiTheme="majorHAnsi" w:cstheme="majorHAnsi"/>
        </w:rPr>
        <w:lastRenderedPageBreak/>
        <w:t>the case of reward paymen</w:t>
      </w:r>
      <w:r w:rsidR="002D5E96" w:rsidRPr="00AD1496">
        <w:rPr>
          <w:rFonts w:asciiTheme="majorHAnsi" w:hAnsiTheme="majorHAnsi" w:cstheme="majorHAnsi"/>
        </w:rPr>
        <w:t xml:space="preserve">t; </w:t>
      </w:r>
      <w:r w:rsidRPr="00AD1496">
        <w:rPr>
          <w:rFonts w:asciiTheme="majorHAnsi" w:hAnsiTheme="majorHAnsi" w:cstheme="majorHAnsi"/>
        </w:rPr>
        <w:t>an issue which should have been identified by the central agencies during drafting.</w:t>
      </w:r>
      <w:bookmarkStart w:id="53" w:name="_egv5kquszhdx" w:colFirst="0" w:colLast="0"/>
      <w:bookmarkStart w:id="54" w:name="_d3n277o8uqv1" w:colFirst="0" w:colLast="0"/>
      <w:bookmarkEnd w:id="52"/>
      <w:bookmarkEnd w:id="53"/>
      <w:bookmarkEnd w:id="54"/>
      <w:r w:rsidR="002D5E96" w:rsidRPr="00AD1496">
        <w:rPr>
          <w:rFonts w:asciiTheme="majorHAnsi" w:hAnsiTheme="majorHAnsi" w:cstheme="majorHAnsi"/>
        </w:rPr>
        <w:t xml:space="preserve"> </w:t>
      </w:r>
    </w:p>
    <w:p w14:paraId="2E4158F7" w14:textId="2764C0FE" w:rsidR="00D11DBA" w:rsidRDefault="00D11DBA" w:rsidP="00D44B6B">
      <w:pPr>
        <w:rPr>
          <w:rFonts w:asciiTheme="majorHAnsi" w:hAnsiTheme="majorHAnsi" w:cstheme="majorHAnsi"/>
        </w:rPr>
      </w:pPr>
      <w:r w:rsidRPr="00AD1496">
        <w:rPr>
          <w:rFonts w:asciiTheme="majorHAnsi" w:hAnsiTheme="majorHAnsi" w:cstheme="majorHAnsi"/>
        </w:rPr>
        <w:t xml:space="preserve">The transfer of the assessment role from the NWC to the Department also reduced the independent nature of assessment as the Department was involved in elements of water reform implementation. </w:t>
      </w:r>
      <w:r w:rsidR="00261E2A">
        <w:rPr>
          <w:rFonts w:asciiTheme="majorHAnsi" w:hAnsiTheme="majorHAnsi" w:cstheme="majorHAnsi"/>
        </w:rPr>
        <w:t>However</w:t>
      </w:r>
      <w:r w:rsidRPr="00AD1496">
        <w:rPr>
          <w:rFonts w:asciiTheme="majorHAnsi" w:hAnsiTheme="majorHAnsi" w:cstheme="majorHAnsi"/>
        </w:rPr>
        <w:t>, having this function within the Department meant that assessors had access to officers with substantial understanding of, and expertise in, water reform processes.</w:t>
      </w:r>
      <w:r w:rsidR="00261E2A">
        <w:rPr>
          <w:rFonts w:asciiTheme="majorHAnsi" w:hAnsiTheme="majorHAnsi" w:cstheme="majorHAnsi"/>
        </w:rPr>
        <w:t xml:space="preserve"> This issue is discussed further in the recommendations section.</w:t>
      </w:r>
    </w:p>
    <w:p w14:paraId="10A87039" w14:textId="5F035BAD" w:rsidR="00D44B6B" w:rsidRPr="00AD1496" w:rsidRDefault="0047615A" w:rsidP="00D44B6B">
      <w:pPr>
        <w:rPr>
          <w:rFonts w:asciiTheme="majorHAnsi" w:hAnsiTheme="majorHAnsi" w:cstheme="majorHAnsi"/>
        </w:rPr>
      </w:pPr>
      <w:r w:rsidRPr="00AD1496">
        <w:rPr>
          <w:rFonts w:asciiTheme="majorHAnsi" w:hAnsiTheme="majorHAnsi" w:cstheme="majorHAnsi"/>
        </w:rPr>
        <w:t xml:space="preserve">In undertaking their role in the assessment arrangement, the </w:t>
      </w:r>
      <w:r w:rsidR="00D44B6B" w:rsidRPr="00AD1496">
        <w:rPr>
          <w:rFonts w:asciiTheme="majorHAnsi" w:hAnsiTheme="majorHAnsi" w:cstheme="majorHAnsi"/>
        </w:rPr>
        <w:t xml:space="preserve">Department made all payments to States within the relevant financial year throughout the course of the agreement. Although States highlighted that some payments were made at the end of the financial year, they were never made outside of the financial year. </w:t>
      </w:r>
      <w:r w:rsidR="005D1B1E">
        <w:rPr>
          <w:rFonts w:asciiTheme="majorHAnsi" w:hAnsiTheme="majorHAnsi" w:cstheme="majorHAnsi"/>
        </w:rPr>
        <w:t>In some cases, as</w:t>
      </w:r>
      <w:r w:rsidR="002D5E96" w:rsidRPr="00AD1496">
        <w:rPr>
          <w:rFonts w:asciiTheme="majorHAnsi" w:hAnsiTheme="majorHAnsi" w:cstheme="majorHAnsi"/>
        </w:rPr>
        <w:t>sessments were delivered after the due date specified in the NPA</w:t>
      </w:r>
      <w:r w:rsidR="00436A24">
        <w:rPr>
          <w:rFonts w:asciiTheme="majorHAnsi" w:hAnsiTheme="majorHAnsi" w:cstheme="majorHAnsi"/>
        </w:rPr>
        <w:t>,</w:t>
      </w:r>
      <w:r w:rsidR="002D5E96" w:rsidRPr="00AD1496">
        <w:rPr>
          <w:rFonts w:asciiTheme="majorHAnsi" w:hAnsiTheme="majorHAnsi" w:cstheme="majorHAnsi"/>
        </w:rPr>
        <w:t xml:space="preserve"> and </w:t>
      </w:r>
      <w:r w:rsidR="00D44B6B" w:rsidRPr="00AD1496">
        <w:rPr>
          <w:rFonts w:asciiTheme="majorHAnsi" w:hAnsiTheme="majorHAnsi" w:cstheme="majorHAnsi"/>
        </w:rPr>
        <w:t xml:space="preserve">States noted that the uncertainty of payment timing caused tension with their respective Treasuries. </w:t>
      </w:r>
      <w:r w:rsidR="00D462F3">
        <w:rPr>
          <w:rFonts w:asciiTheme="majorHAnsi" w:hAnsiTheme="majorHAnsi" w:cstheme="majorHAnsi"/>
        </w:rPr>
        <w:lastRenderedPageBreak/>
        <w:t>However it should be noted</w:t>
      </w:r>
      <w:r w:rsidR="00113CEF">
        <w:rPr>
          <w:rFonts w:asciiTheme="majorHAnsi" w:hAnsiTheme="majorHAnsi" w:cstheme="majorHAnsi"/>
        </w:rPr>
        <w:t xml:space="preserve"> some of</w:t>
      </w:r>
      <w:r w:rsidR="00D462F3">
        <w:rPr>
          <w:rFonts w:asciiTheme="majorHAnsi" w:hAnsiTheme="majorHAnsi" w:cstheme="majorHAnsi"/>
        </w:rPr>
        <w:t xml:space="preserve"> these delays occurred because of</w:t>
      </w:r>
      <w:r w:rsidR="00D44B6B" w:rsidRPr="00AD1496">
        <w:rPr>
          <w:rFonts w:asciiTheme="majorHAnsi" w:hAnsiTheme="majorHAnsi" w:cstheme="majorHAnsi"/>
        </w:rPr>
        <w:t xml:space="preserve"> </w:t>
      </w:r>
      <w:r w:rsidR="00D462F3">
        <w:rPr>
          <w:rFonts w:asciiTheme="majorHAnsi" w:hAnsiTheme="majorHAnsi" w:cstheme="majorHAnsi"/>
        </w:rPr>
        <w:t xml:space="preserve">the </w:t>
      </w:r>
      <w:r w:rsidR="00D44B6B" w:rsidRPr="00AD1496">
        <w:rPr>
          <w:rFonts w:asciiTheme="majorHAnsi" w:hAnsiTheme="majorHAnsi" w:cstheme="majorHAnsi"/>
        </w:rPr>
        <w:t>inquiries and reviews into the NPA which occurred in the 201</w:t>
      </w:r>
      <w:r w:rsidR="00D42325" w:rsidRPr="00AD1496">
        <w:rPr>
          <w:rFonts w:asciiTheme="majorHAnsi" w:hAnsiTheme="majorHAnsi" w:cstheme="majorHAnsi"/>
        </w:rPr>
        <w:t>6</w:t>
      </w:r>
      <w:r w:rsidR="00D44B6B" w:rsidRPr="00AD1496">
        <w:rPr>
          <w:rFonts w:asciiTheme="majorHAnsi" w:hAnsiTheme="majorHAnsi" w:cstheme="majorHAnsi"/>
        </w:rPr>
        <w:t>-17 and 2017-18 periods</w:t>
      </w:r>
      <w:r w:rsidR="00D462F3">
        <w:rPr>
          <w:rFonts w:asciiTheme="majorHAnsi" w:hAnsiTheme="majorHAnsi" w:cstheme="majorHAnsi"/>
        </w:rPr>
        <w:t>, the inclusion of Compliance Compact reporting in the assessment process and late submission of</w:t>
      </w:r>
      <w:r w:rsidR="00D462F3" w:rsidRPr="00AD1496">
        <w:rPr>
          <w:rFonts w:asciiTheme="majorHAnsi" w:hAnsiTheme="majorHAnsi" w:cstheme="majorHAnsi"/>
        </w:rPr>
        <w:t xml:space="preserve"> SOAs by States</w:t>
      </w:r>
      <w:r w:rsidR="00D44B6B" w:rsidRPr="00AD1496">
        <w:rPr>
          <w:rFonts w:asciiTheme="majorHAnsi" w:hAnsiTheme="majorHAnsi" w:cstheme="majorHAnsi"/>
        </w:rPr>
        <w:t>.</w:t>
      </w:r>
    </w:p>
    <w:p w14:paraId="4A29CEEC" w14:textId="2E4553F9" w:rsidR="0038060A" w:rsidRPr="00AD1496" w:rsidRDefault="0038060A" w:rsidP="00691206">
      <w:pPr>
        <w:pStyle w:val="Heading2"/>
        <w:rPr>
          <w:rFonts w:asciiTheme="majorHAnsi" w:hAnsiTheme="majorHAnsi" w:cstheme="majorHAnsi"/>
        </w:rPr>
      </w:pPr>
      <w:bookmarkStart w:id="55" w:name="_Toc33700622"/>
      <w:r w:rsidRPr="00AD1496">
        <w:rPr>
          <w:rFonts w:asciiTheme="majorHAnsi" w:hAnsiTheme="majorHAnsi" w:cstheme="majorHAnsi"/>
        </w:rPr>
        <w:t>Areas for improvement</w:t>
      </w:r>
      <w:bookmarkEnd w:id="55"/>
    </w:p>
    <w:p w14:paraId="5B74CD2E" w14:textId="77777777" w:rsidR="00CD0E7C" w:rsidRPr="00AD1496" w:rsidRDefault="00CD0E7C" w:rsidP="0092386E">
      <w:pPr>
        <w:pStyle w:val="Boxheading"/>
        <w:rPr>
          <w:rFonts w:asciiTheme="majorHAnsi" w:hAnsiTheme="majorHAnsi" w:cstheme="majorHAnsi"/>
        </w:rPr>
      </w:pPr>
    </w:p>
    <w:p w14:paraId="3C760A9A" w14:textId="2AF05440" w:rsidR="00C47B3C" w:rsidRPr="00AD1496" w:rsidRDefault="00C47B3C" w:rsidP="0092386E">
      <w:pPr>
        <w:pStyle w:val="Boxheading"/>
        <w:rPr>
          <w:rFonts w:asciiTheme="majorHAnsi" w:hAnsiTheme="majorHAnsi" w:cstheme="majorHAnsi"/>
        </w:rPr>
      </w:pPr>
      <w:r w:rsidRPr="00AD1496">
        <w:rPr>
          <w:rFonts w:asciiTheme="majorHAnsi" w:hAnsiTheme="majorHAnsi" w:cstheme="majorHAnsi"/>
        </w:rPr>
        <w:t>Term of Reference 3</w:t>
      </w:r>
      <w:r w:rsidR="00CD0E7C" w:rsidRPr="00AD1496">
        <w:rPr>
          <w:rFonts w:asciiTheme="majorHAnsi" w:hAnsiTheme="majorHAnsi" w:cstheme="majorHAnsi"/>
        </w:rPr>
        <w:br/>
      </w:r>
    </w:p>
    <w:p w14:paraId="43623EAB" w14:textId="269E20AE" w:rsidR="00945A1A" w:rsidRPr="00AD1496" w:rsidRDefault="00C47B3C" w:rsidP="00104C46">
      <w:pPr>
        <w:pStyle w:val="Boxtext0"/>
        <w:spacing w:after="240"/>
        <w:rPr>
          <w:rFonts w:asciiTheme="majorHAnsi" w:hAnsiTheme="majorHAnsi" w:cstheme="majorHAnsi"/>
        </w:rPr>
      </w:pPr>
      <w:r w:rsidRPr="00AD1496">
        <w:rPr>
          <w:rFonts w:asciiTheme="majorHAnsi" w:hAnsiTheme="majorHAnsi" w:cstheme="majorHAnsi"/>
        </w:rPr>
        <w:t>Identification of areas for improvement and opportunities to enhance current and future arrangements.</w:t>
      </w:r>
      <w:r w:rsidR="00CD0E7C" w:rsidRPr="00AD1496">
        <w:rPr>
          <w:rFonts w:asciiTheme="majorHAnsi" w:hAnsiTheme="majorHAnsi" w:cstheme="majorHAnsi"/>
        </w:rPr>
        <w:br/>
      </w:r>
    </w:p>
    <w:p w14:paraId="40B648E9" w14:textId="4D41C291" w:rsidR="0038060A" w:rsidRPr="00AD1496" w:rsidRDefault="00531EAA" w:rsidP="00214DA5">
      <w:pPr>
        <w:rPr>
          <w:rFonts w:asciiTheme="majorHAnsi" w:hAnsiTheme="majorHAnsi" w:cstheme="majorHAnsi"/>
        </w:rPr>
      </w:pPr>
      <w:r w:rsidRPr="00AD1496">
        <w:rPr>
          <w:rFonts w:asciiTheme="majorHAnsi" w:hAnsiTheme="majorHAnsi" w:cstheme="majorHAnsi"/>
        </w:rPr>
        <w:t xml:space="preserve">While the NPA was </w:t>
      </w:r>
      <w:r w:rsidR="000B190A" w:rsidRPr="00AD1496">
        <w:rPr>
          <w:rFonts w:asciiTheme="majorHAnsi" w:hAnsiTheme="majorHAnsi" w:cstheme="majorHAnsi"/>
        </w:rPr>
        <w:t xml:space="preserve">largely </w:t>
      </w:r>
      <w:r w:rsidRPr="00AD1496">
        <w:rPr>
          <w:rFonts w:asciiTheme="majorHAnsi" w:hAnsiTheme="majorHAnsi" w:cstheme="majorHAnsi"/>
        </w:rPr>
        <w:t xml:space="preserve">effective, it was </w:t>
      </w:r>
      <w:r w:rsidR="0047615A" w:rsidRPr="00AD1496">
        <w:rPr>
          <w:rFonts w:asciiTheme="majorHAnsi" w:hAnsiTheme="majorHAnsi" w:cstheme="majorHAnsi"/>
        </w:rPr>
        <w:t xml:space="preserve">limited by the shortcoming of its milestones and payment structure. </w:t>
      </w:r>
      <w:r w:rsidR="00AD6387" w:rsidRPr="00AD1496">
        <w:rPr>
          <w:rFonts w:asciiTheme="majorHAnsi" w:hAnsiTheme="majorHAnsi" w:cstheme="majorHAnsi"/>
        </w:rPr>
        <w:t>Generally, t</w:t>
      </w:r>
      <w:r w:rsidR="0047615A" w:rsidRPr="00AD1496">
        <w:rPr>
          <w:rFonts w:asciiTheme="majorHAnsi" w:hAnsiTheme="majorHAnsi" w:cstheme="majorHAnsi"/>
        </w:rPr>
        <w:t xml:space="preserve">he assessment arrangements worked well and the roles of parties to the agreement were clear; </w:t>
      </w:r>
      <w:r w:rsidR="005D1B1E">
        <w:rPr>
          <w:rFonts w:asciiTheme="majorHAnsi" w:hAnsiTheme="majorHAnsi" w:cstheme="majorHAnsi"/>
        </w:rPr>
        <w:t>h</w:t>
      </w:r>
      <w:r w:rsidR="0047615A" w:rsidRPr="00AD1496">
        <w:rPr>
          <w:rFonts w:asciiTheme="majorHAnsi" w:hAnsiTheme="majorHAnsi" w:cstheme="majorHAnsi"/>
        </w:rPr>
        <w:t xml:space="preserve">owever, transferring the role of the NWC to the </w:t>
      </w:r>
      <w:r w:rsidR="00A1761B" w:rsidRPr="00AD1496">
        <w:rPr>
          <w:rFonts w:asciiTheme="majorHAnsi" w:hAnsiTheme="majorHAnsi" w:cstheme="majorHAnsi"/>
        </w:rPr>
        <w:t xml:space="preserve">Department </w:t>
      </w:r>
      <w:r w:rsidR="00EE5C3F" w:rsidRPr="00AD1496">
        <w:rPr>
          <w:rFonts w:asciiTheme="majorHAnsi" w:hAnsiTheme="majorHAnsi" w:cstheme="majorHAnsi"/>
        </w:rPr>
        <w:t xml:space="preserve">(via DoE) </w:t>
      </w:r>
      <w:r w:rsidR="0047615A" w:rsidRPr="00AD1496">
        <w:rPr>
          <w:rFonts w:asciiTheme="majorHAnsi" w:hAnsiTheme="majorHAnsi" w:cstheme="majorHAnsi"/>
        </w:rPr>
        <w:t>reduced the independence of the assessment arrange</w:t>
      </w:r>
      <w:r w:rsidR="0047615A" w:rsidRPr="00AD1496">
        <w:rPr>
          <w:rFonts w:asciiTheme="majorHAnsi" w:hAnsiTheme="majorHAnsi" w:cstheme="majorHAnsi"/>
        </w:rPr>
        <w:lastRenderedPageBreak/>
        <w:t>ments and reduced the NPA’s consistency with IGAFFR principles of best practice.</w:t>
      </w:r>
      <w:r w:rsidR="00AD6387" w:rsidRPr="00AD1496">
        <w:rPr>
          <w:rFonts w:asciiTheme="majorHAnsi" w:hAnsiTheme="majorHAnsi" w:cstheme="majorHAnsi"/>
        </w:rPr>
        <w:t xml:space="preserve"> The external political environment in which the NPA functioned also changed over time, resulting in a shift in the way the NPA progress re</w:t>
      </w:r>
      <w:r w:rsidR="00AD58AA" w:rsidRPr="00AD1496">
        <w:rPr>
          <w:rFonts w:asciiTheme="majorHAnsi" w:hAnsiTheme="majorHAnsi" w:cstheme="majorHAnsi"/>
        </w:rPr>
        <w:t>ports were assessed.</w:t>
      </w:r>
    </w:p>
    <w:p w14:paraId="3321E38F" w14:textId="1F98AA90" w:rsidR="00991ED5" w:rsidRPr="00AD1496" w:rsidRDefault="00991ED5" w:rsidP="00991ED5">
      <w:pPr>
        <w:pStyle w:val="Heading3"/>
        <w:rPr>
          <w:rFonts w:asciiTheme="majorHAnsi" w:hAnsiTheme="majorHAnsi" w:cstheme="majorHAnsi"/>
        </w:rPr>
      </w:pPr>
      <w:r w:rsidRPr="00AD1496">
        <w:rPr>
          <w:rFonts w:asciiTheme="majorHAnsi" w:hAnsiTheme="majorHAnsi" w:cstheme="majorHAnsi"/>
        </w:rPr>
        <w:t>Enablers and barriers</w:t>
      </w:r>
    </w:p>
    <w:p w14:paraId="3623AE28" w14:textId="09BDC0C0" w:rsidR="00991ED5" w:rsidRPr="00AD1496" w:rsidRDefault="00991ED5" w:rsidP="00991ED5">
      <w:pPr>
        <w:rPr>
          <w:rFonts w:asciiTheme="majorHAnsi" w:hAnsiTheme="majorHAnsi" w:cstheme="majorHAnsi"/>
        </w:rPr>
      </w:pPr>
      <w:r w:rsidRPr="00AD1496">
        <w:rPr>
          <w:rFonts w:asciiTheme="majorHAnsi" w:hAnsiTheme="majorHAnsi" w:cstheme="majorHAnsi"/>
        </w:rPr>
        <w:t xml:space="preserve">States perceived NPA funding as an enabler in achieving the objectives of the NPA, </w:t>
      </w:r>
      <w:r w:rsidR="00202F17">
        <w:rPr>
          <w:rFonts w:asciiTheme="majorHAnsi" w:hAnsiTheme="majorHAnsi" w:cstheme="majorHAnsi"/>
        </w:rPr>
        <w:t>despite</w:t>
      </w:r>
      <w:r w:rsidR="00202F17" w:rsidRPr="00AD1496">
        <w:rPr>
          <w:rFonts w:asciiTheme="majorHAnsi" w:hAnsiTheme="majorHAnsi" w:cstheme="majorHAnsi"/>
        </w:rPr>
        <w:t xml:space="preserve"> </w:t>
      </w:r>
      <w:r w:rsidRPr="00AD1496">
        <w:rPr>
          <w:rFonts w:asciiTheme="majorHAnsi" w:hAnsiTheme="majorHAnsi" w:cstheme="majorHAnsi"/>
        </w:rPr>
        <w:t>the shifting policy context</w:t>
      </w:r>
      <w:r w:rsidR="00704E0E">
        <w:rPr>
          <w:rFonts w:asciiTheme="majorHAnsi" w:hAnsiTheme="majorHAnsi" w:cstheme="majorHAnsi"/>
        </w:rPr>
        <w:t>,</w:t>
      </w:r>
      <w:r w:rsidRPr="00AD1496">
        <w:rPr>
          <w:rFonts w:asciiTheme="majorHAnsi" w:hAnsiTheme="majorHAnsi" w:cstheme="majorHAnsi"/>
        </w:rPr>
        <w:t xml:space="preserve"> increased scrutiny since 2017</w:t>
      </w:r>
      <w:r w:rsidR="00261E2A">
        <w:rPr>
          <w:rFonts w:asciiTheme="majorHAnsi" w:hAnsiTheme="majorHAnsi" w:cstheme="majorHAnsi"/>
        </w:rPr>
        <w:t>,</w:t>
      </w:r>
      <w:r w:rsidR="00704E0E">
        <w:rPr>
          <w:rFonts w:asciiTheme="majorHAnsi" w:hAnsiTheme="majorHAnsi" w:cstheme="majorHAnsi"/>
        </w:rPr>
        <w:t xml:space="preserve"> and outcomes of the NPA mid-term review </w:t>
      </w:r>
      <w:r w:rsidR="001C3126" w:rsidRPr="00AD1496">
        <w:rPr>
          <w:rFonts w:asciiTheme="majorHAnsi" w:hAnsiTheme="majorHAnsi" w:cstheme="majorHAnsi"/>
        </w:rPr>
        <w:t>add</w:t>
      </w:r>
      <w:r w:rsidR="00202F17">
        <w:rPr>
          <w:rFonts w:asciiTheme="majorHAnsi" w:hAnsiTheme="majorHAnsi" w:cstheme="majorHAnsi"/>
        </w:rPr>
        <w:t>ing</w:t>
      </w:r>
      <w:r w:rsidR="001C3126" w:rsidRPr="00AD1496">
        <w:rPr>
          <w:rFonts w:asciiTheme="majorHAnsi" w:hAnsiTheme="majorHAnsi" w:cstheme="majorHAnsi"/>
        </w:rPr>
        <w:t xml:space="preserve"> complexities </w:t>
      </w:r>
      <w:r w:rsidR="00704E0E">
        <w:rPr>
          <w:rFonts w:asciiTheme="majorHAnsi" w:hAnsiTheme="majorHAnsi" w:cstheme="majorHAnsi"/>
        </w:rPr>
        <w:t>to</w:t>
      </w:r>
      <w:r w:rsidR="001C3126" w:rsidRPr="00AD1496">
        <w:rPr>
          <w:rFonts w:asciiTheme="majorHAnsi" w:hAnsiTheme="majorHAnsi" w:cstheme="majorHAnsi"/>
        </w:rPr>
        <w:t xml:space="preserve"> the reporting arrangement</w:t>
      </w:r>
      <w:r w:rsidR="00BE28E0">
        <w:rPr>
          <w:rFonts w:asciiTheme="majorHAnsi" w:hAnsiTheme="majorHAnsi" w:cstheme="majorHAnsi"/>
        </w:rPr>
        <w:t>s and</w:t>
      </w:r>
      <w:r w:rsidR="001C3126" w:rsidRPr="00AD1496">
        <w:rPr>
          <w:rFonts w:asciiTheme="majorHAnsi" w:hAnsiTheme="majorHAnsi" w:cstheme="majorHAnsi"/>
        </w:rPr>
        <w:t xml:space="preserve"> </w:t>
      </w:r>
      <w:r w:rsidR="00704E0E">
        <w:rPr>
          <w:rFonts w:asciiTheme="majorHAnsi" w:hAnsiTheme="majorHAnsi" w:cstheme="majorHAnsi"/>
        </w:rPr>
        <w:t>the level of detail included in milestone assessments</w:t>
      </w:r>
      <w:r w:rsidRPr="00AD1496">
        <w:rPr>
          <w:rFonts w:asciiTheme="majorHAnsi" w:hAnsiTheme="majorHAnsi" w:cstheme="majorHAnsi"/>
        </w:rPr>
        <w:t xml:space="preserve">. </w:t>
      </w:r>
      <w:r w:rsidR="00CD0E7C" w:rsidRPr="00AD1496">
        <w:rPr>
          <w:rFonts w:asciiTheme="majorHAnsi" w:hAnsiTheme="majorHAnsi" w:cstheme="majorHAnsi"/>
        </w:rPr>
        <w:t>Some</w:t>
      </w:r>
      <w:r w:rsidRPr="00AD1496">
        <w:rPr>
          <w:rFonts w:asciiTheme="majorHAnsi" w:hAnsiTheme="majorHAnsi" w:cstheme="majorHAnsi"/>
        </w:rPr>
        <w:t xml:space="preserve"> stakeholders noted that the public scrutiny and heightened interest in progress of the Basin Plan following the Four Corners report catalysed action and aided in the achievement of NPA objectives. </w:t>
      </w:r>
    </w:p>
    <w:p w14:paraId="11DCF9C5" w14:textId="4F983B79" w:rsidR="00991ED5" w:rsidRPr="00AD1496" w:rsidRDefault="00991ED5" w:rsidP="00991ED5">
      <w:pPr>
        <w:rPr>
          <w:rFonts w:asciiTheme="majorHAnsi" w:hAnsiTheme="majorHAnsi" w:cstheme="majorHAnsi"/>
        </w:rPr>
      </w:pPr>
      <w:r w:rsidRPr="00AD1496">
        <w:rPr>
          <w:rFonts w:asciiTheme="majorHAnsi" w:hAnsiTheme="majorHAnsi" w:cstheme="majorHAnsi"/>
        </w:rPr>
        <w:t xml:space="preserve">The States’ </w:t>
      </w:r>
      <w:r w:rsidR="00DC7FE4" w:rsidRPr="00AD1496">
        <w:rPr>
          <w:rFonts w:asciiTheme="majorHAnsi" w:hAnsiTheme="majorHAnsi" w:cstheme="majorHAnsi"/>
        </w:rPr>
        <w:t>reported that their</w:t>
      </w:r>
      <w:r w:rsidRPr="00AD1496">
        <w:rPr>
          <w:rFonts w:asciiTheme="majorHAnsi" w:hAnsiTheme="majorHAnsi" w:cstheme="majorHAnsi"/>
        </w:rPr>
        <w:t xml:space="preserve"> staff, including their science capabilities were </w:t>
      </w:r>
      <w:r w:rsidR="00DC7FE4" w:rsidRPr="00AD1496">
        <w:rPr>
          <w:rFonts w:asciiTheme="majorHAnsi" w:hAnsiTheme="majorHAnsi" w:cstheme="majorHAnsi"/>
        </w:rPr>
        <w:t>a</w:t>
      </w:r>
      <w:r w:rsidRPr="00AD1496">
        <w:rPr>
          <w:rFonts w:asciiTheme="majorHAnsi" w:hAnsiTheme="majorHAnsi" w:cstheme="majorHAnsi"/>
        </w:rPr>
        <w:t xml:space="preserve"> major enabler. Many States regarded good, open working relationships at the officer level </w:t>
      </w:r>
      <w:r w:rsidR="006E2DDA" w:rsidRPr="00AD1496">
        <w:rPr>
          <w:rFonts w:asciiTheme="majorHAnsi" w:hAnsiTheme="majorHAnsi" w:cstheme="majorHAnsi"/>
        </w:rPr>
        <w:t xml:space="preserve">to </w:t>
      </w:r>
      <w:r w:rsidRPr="00AD1496">
        <w:rPr>
          <w:rFonts w:asciiTheme="majorHAnsi" w:hAnsiTheme="majorHAnsi" w:cstheme="majorHAnsi"/>
        </w:rPr>
        <w:lastRenderedPageBreak/>
        <w:t xml:space="preserve">have been a key enabler of the NPA. However, lack of specification and clarity around the WRP </w:t>
      </w:r>
      <w:r w:rsidR="00202F17">
        <w:rPr>
          <w:rFonts w:asciiTheme="majorHAnsi" w:hAnsiTheme="majorHAnsi" w:cstheme="majorHAnsi"/>
        </w:rPr>
        <w:t>development</w:t>
      </w:r>
      <w:r w:rsidR="00202F17" w:rsidRPr="00AD1496">
        <w:rPr>
          <w:rFonts w:asciiTheme="majorHAnsi" w:hAnsiTheme="majorHAnsi" w:cstheme="majorHAnsi"/>
        </w:rPr>
        <w:t xml:space="preserve"> </w:t>
      </w:r>
      <w:r w:rsidRPr="00AD1496">
        <w:rPr>
          <w:rFonts w:asciiTheme="majorHAnsi" w:hAnsiTheme="majorHAnsi" w:cstheme="majorHAnsi"/>
        </w:rPr>
        <w:t xml:space="preserve">process and staff churn in State and Commonwealth agencies was seen as a barrier. </w:t>
      </w:r>
      <w:r w:rsidR="00B44DE6" w:rsidRPr="00AD1496">
        <w:rPr>
          <w:rFonts w:asciiTheme="majorHAnsi" w:hAnsiTheme="majorHAnsi" w:cstheme="majorHAnsi"/>
        </w:rPr>
        <w:t xml:space="preserve">We heard that </w:t>
      </w:r>
      <w:r w:rsidRPr="00AD1496">
        <w:rPr>
          <w:rFonts w:asciiTheme="majorHAnsi" w:hAnsiTheme="majorHAnsi" w:cstheme="majorHAnsi"/>
        </w:rPr>
        <w:t xml:space="preserve">there </w:t>
      </w:r>
      <w:r w:rsidR="00B44DE6" w:rsidRPr="00AD1496">
        <w:rPr>
          <w:rFonts w:asciiTheme="majorHAnsi" w:hAnsiTheme="majorHAnsi" w:cstheme="majorHAnsi"/>
        </w:rPr>
        <w:t xml:space="preserve">are </w:t>
      </w:r>
      <w:r w:rsidRPr="00AD1496">
        <w:rPr>
          <w:rFonts w:asciiTheme="majorHAnsi" w:hAnsiTheme="majorHAnsi" w:cstheme="majorHAnsi"/>
        </w:rPr>
        <w:t xml:space="preserve">no staff currently working within </w:t>
      </w:r>
      <w:r w:rsidR="00B44DE6" w:rsidRPr="00AD1496">
        <w:rPr>
          <w:rFonts w:asciiTheme="majorHAnsi" w:hAnsiTheme="majorHAnsi" w:cstheme="majorHAnsi"/>
        </w:rPr>
        <w:t xml:space="preserve">the NSW </w:t>
      </w:r>
      <w:r w:rsidRPr="00AD1496">
        <w:rPr>
          <w:rFonts w:asciiTheme="majorHAnsi" w:hAnsiTheme="majorHAnsi" w:cstheme="majorHAnsi"/>
        </w:rPr>
        <w:t>water agenc</w:t>
      </w:r>
      <w:r w:rsidR="003F52F0" w:rsidRPr="00AD1496">
        <w:rPr>
          <w:rFonts w:asciiTheme="majorHAnsi" w:hAnsiTheme="majorHAnsi" w:cstheme="majorHAnsi"/>
        </w:rPr>
        <w:t>ies</w:t>
      </w:r>
      <w:r w:rsidRPr="00AD1496">
        <w:rPr>
          <w:rFonts w:asciiTheme="majorHAnsi" w:hAnsiTheme="majorHAnsi" w:cstheme="majorHAnsi"/>
        </w:rPr>
        <w:t xml:space="preserve"> who were present at the inception of the NPA</w:t>
      </w:r>
      <w:r w:rsidR="00B44DE6" w:rsidRPr="00AD1496">
        <w:rPr>
          <w:rFonts w:asciiTheme="majorHAnsi" w:hAnsiTheme="majorHAnsi" w:cstheme="majorHAnsi"/>
        </w:rPr>
        <w:t xml:space="preserve"> due to downsizing</w:t>
      </w:r>
      <w:r w:rsidR="003F52F0" w:rsidRPr="00AD1496">
        <w:rPr>
          <w:rFonts w:asciiTheme="majorHAnsi" w:hAnsiTheme="majorHAnsi" w:cstheme="majorHAnsi"/>
        </w:rPr>
        <w:t xml:space="preserve"> in the intervening years</w:t>
      </w:r>
      <w:r w:rsidR="00B44DE6" w:rsidRPr="00AD1496">
        <w:rPr>
          <w:rFonts w:asciiTheme="majorHAnsi" w:hAnsiTheme="majorHAnsi" w:cstheme="majorHAnsi"/>
        </w:rPr>
        <w:t xml:space="preserve">. </w:t>
      </w:r>
      <w:r w:rsidR="00104C46" w:rsidRPr="00AD1496">
        <w:rPr>
          <w:rFonts w:asciiTheme="majorHAnsi" w:hAnsiTheme="majorHAnsi" w:cstheme="majorHAnsi"/>
        </w:rPr>
        <w:t>Given that the NPA aimed to ensure that States had staff on board to manage the MDB reform process, t</w:t>
      </w:r>
      <w:r w:rsidR="00B44DE6" w:rsidRPr="00AD1496">
        <w:rPr>
          <w:rFonts w:asciiTheme="majorHAnsi" w:hAnsiTheme="majorHAnsi" w:cstheme="majorHAnsi"/>
        </w:rPr>
        <w:t xml:space="preserve">his has been a barrier to implementation and leaves NSW </w:t>
      </w:r>
      <w:r w:rsidRPr="00AD1496">
        <w:rPr>
          <w:rFonts w:asciiTheme="majorHAnsi" w:hAnsiTheme="majorHAnsi" w:cstheme="majorHAnsi"/>
        </w:rPr>
        <w:t>at a significant disadvantage in achieving its objectives</w:t>
      </w:r>
      <w:r w:rsidR="00B44DE6" w:rsidRPr="00AD1496">
        <w:rPr>
          <w:rFonts w:asciiTheme="majorHAnsi" w:hAnsiTheme="majorHAnsi" w:cstheme="majorHAnsi"/>
        </w:rPr>
        <w:t xml:space="preserve"> under the NPA</w:t>
      </w:r>
      <w:r w:rsidRPr="00AD1496">
        <w:rPr>
          <w:rFonts w:asciiTheme="majorHAnsi" w:hAnsiTheme="majorHAnsi" w:cstheme="majorHAnsi"/>
        </w:rPr>
        <w:t xml:space="preserve">. </w:t>
      </w:r>
    </w:p>
    <w:p w14:paraId="6566A7BF" w14:textId="1C6CA2EB" w:rsidR="00991ED5" w:rsidRPr="00AD1496" w:rsidRDefault="00B44DE6" w:rsidP="00991ED5">
      <w:pPr>
        <w:rPr>
          <w:rFonts w:asciiTheme="majorHAnsi" w:hAnsiTheme="majorHAnsi" w:cstheme="majorHAnsi"/>
        </w:rPr>
      </w:pPr>
      <w:r w:rsidRPr="00AD1496">
        <w:rPr>
          <w:rFonts w:asciiTheme="majorHAnsi" w:hAnsiTheme="majorHAnsi" w:cstheme="majorHAnsi"/>
        </w:rPr>
        <w:t xml:space="preserve">Notwithstanding the Northern Basin Review, we heard </w:t>
      </w:r>
      <w:r w:rsidR="00DC7FE4" w:rsidRPr="00AD1496">
        <w:rPr>
          <w:rFonts w:asciiTheme="majorHAnsi" w:hAnsiTheme="majorHAnsi" w:cstheme="majorHAnsi"/>
        </w:rPr>
        <w:t>a percep</w:t>
      </w:r>
      <w:r w:rsidR="00991ED5" w:rsidRPr="00AD1496">
        <w:rPr>
          <w:rFonts w:asciiTheme="majorHAnsi" w:hAnsiTheme="majorHAnsi" w:cstheme="majorHAnsi"/>
        </w:rPr>
        <w:t>t</w:t>
      </w:r>
      <w:r w:rsidR="00DC7FE4" w:rsidRPr="00AD1496">
        <w:rPr>
          <w:rFonts w:asciiTheme="majorHAnsi" w:hAnsiTheme="majorHAnsi" w:cstheme="majorHAnsi"/>
        </w:rPr>
        <w:t xml:space="preserve">ion that </w:t>
      </w:r>
      <w:r w:rsidR="00991ED5" w:rsidRPr="00AD1496">
        <w:rPr>
          <w:rFonts w:asciiTheme="majorHAnsi" w:hAnsiTheme="majorHAnsi" w:cstheme="majorHAnsi"/>
        </w:rPr>
        <w:t xml:space="preserve">all Basin rivers </w:t>
      </w:r>
      <w:r w:rsidR="00DC7FE4" w:rsidRPr="00AD1496">
        <w:rPr>
          <w:rFonts w:asciiTheme="majorHAnsi" w:hAnsiTheme="majorHAnsi" w:cstheme="majorHAnsi"/>
        </w:rPr>
        <w:t xml:space="preserve">were being treated </w:t>
      </w:r>
      <w:r w:rsidR="00991ED5" w:rsidRPr="00AD1496">
        <w:rPr>
          <w:rFonts w:asciiTheme="majorHAnsi" w:hAnsiTheme="majorHAnsi" w:cstheme="majorHAnsi"/>
        </w:rPr>
        <w:t>as if they are hydrologically similar</w:t>
      </w:r>
      <w:r w:rsidRPr="00AD1496">
        <w:rPr>
          <w:rFonts w:asciiTheme="majorHAnsi" w:hAnsiTheme="majorHAnsi" w:cstheme="majorHAnsi"/>
        </w:rPr>
        <w:t xml:space="preserve"> </w:t>
      </w:r>
      <w:r w:rsidR="00A079B2" w:rsidRPr="00AD1496">
        <w:rPr>
          <w:rFonts w:asciiTheme="majorHAnsi" w:hAnsiTheme="majorHAnsi" w:cstheme="majorHAnsi"/>
        </w:rPr>
        <w:t xml:space="preserve">and this </w:t>
      </w:r>
      <w:r w:rsidR="00DC7FE4" w:rsidRPr="00AD1496">
        <w:rPr>
          <w:rFonts w:asciiTheme="majorHAnsi" w:hAnsiTheme="majorHAnsi" w:cstheme="majorHAnsi"/>
        </w:rPr>
        <w:t>was described as</w:t>
      </w:r>
      <w:r w:rsidRPr="00AD1496">
        <w:rPr>
          <w:rFonts w:asciiTheme="majorHAnsi" w:hAnsiTheme="majorHAnsi" w:cstheme="majorHAnsi"/>
        </w:rPr>
        <w:t xml:space="preserve"> a barrier. </w:t>
      </w:r>
      <w:r w:rsidR="00DC7FE4" w:rsidRPr="00AD1496">
        <w:rPr>
          <w:rFonts w:asciiTheme="majorHAnsi" w:hAnsiTheme="majorHAnsi" w:cstheme="majorHAnsi"/>
        </w:rPr>
        <w:t>This related to perceived a</w:t>
      </w:r>
      <w:r w:rsidR="00991ED5" w:rsidRPr="00AD1496">
        <w:rPr>
          <w:rFonts w:asciiTheme="majorHAnsi" w:hAnsiTheme="majorHAnsi" w:cstheme="majorHAnsi"/>
        </w:rPr>
        <w:t xml:space="preserve">ssumptions </w:t>
      </w:r>
      <w:r w:rsidR="00DC7FE4" w:rsidRPr="00AD1496">
        <w:rPr>
          <w:rFonts w:asciiTheme="majorHAnsi" w:hAnsiTheme="majorHAnsi" w:cstheme="majorHAnsi"/>
        </w:rPr>
        <w:t>that the</w:t>
      </w:r>
      <w:r w:rsidR="00991ED5" w:rsidRPr="00AD1496">
        <w:rPr>
          <w:rFonts w:asciiTheme="majorHAnsi" w:hAnsiTheme="majorHAnsi" w:cstheme="majorHAnsi"/>
        </w:rPr>
        <w:t xml:space="preserve"> hydrological characteristics of the Murray River and the Southern Basin </w:t>
      </w:r>
      <w:r w:rsidR="00DC7FE4" w:rsidRPr="00AD1496">
        <w:rPr>
          <w:rFonts w:asciiTheme="majorHAnsi" w:hAnsiTheme="majorHAnsi" w:cstheme="majorHAnsi"/>
        </w:rPr>
        <w:t xml:space="preserve">had been used </w:t>
      </w:r>
      <w:r w:rsidR="00991ED5" w:rsidRPr="00AD1496">
        <w:rPr>
          <w:rFonts w:asciiTheme="majorHAnsi" w:hAnsiTheme="majorHAnsi" w:cstheme="majorHAnsi"/>
        </w:rPr>
        <w:t>in conceptualising and modelling all river systems within the MDB</w:t>
      </w:r>
      <w:r w:rsidR="00DC7FE4" w:rsidRPr="00AD1496">
        <w:rPr>
          <w:rFonts w:asciiTheme="majorHAnsi" w:hAnsiTheme="majorHAnsi" w:cstheme="majorHAnsi"/>
        </w:rPr>
        <w:t xml:space="preserve">, while </w:t>
      </w:r>
      <w:r w:rsidR="00991ED5" w:rsidRPr="00AD1496">
        <w:rPr>
          <w:rFonts w:asciiTheme="majorHAnsi" w:hAnsiTheme="majorHAnsi" w:cstheme="majorHAnsi"/>
        </w:rPr>
        <w:t>not applicable to the Northern Basin.</w:t>
      </w:r>
    </w:p>
    <w:p w14:paraId="2E3E3888" w14:textId="232D0085" w:rsidR="00991ED5" w:rsidRPr="00AD1496" w:rsidRDefault="00991ED5" w:rsidP="00991ED5">
      <w:pPr>
        <w:rPr>
          <w:rFonts w:asciiTheme="majorHAnsi" w:hAnsiTheme="majorHAnsi" w:cstheme="majorHAnsi"/>
        </w:rPr>
      </w:pPr>
      <w:r w:rsidRPr="00AD1496">
        <w:rPr>
          <w:rFonts w:asciiTheme="majorHAnsi" w:hAnsiTheme="majorHAnsi" w:cstheme="majorHAnsi"/>
        </w:rPr>
        <w:lastRenderedPageBreak/>
        <w:t>For some States, other barriers include the way in which some dimensions of the reform require other States to deliver, or for the MDBA to progress certain aspects of the reforms. They identified that their agreement with the Commonwealth is contingent on other</w:t>
      </w:r>
      <w:r w:rsidR="00901671" w:rsidRPr="00AD1496">
        <w:rPr>
          <w:rFonts w:asciiTheme="majorHAnsi" w:hAnsiTheme="majorHAnsi" w:cstheme="majorHAnsi"/>
        </w:rPr>
        <w:t xml:space="preserve"> States </w:t>
      </w:r>
      <w:r w:rsidRPr="00AD1496">
        <w:rPr>
          <w:rFonts w:asciiTheme="majorHAnsi" w:hAnsiTheme="majorHAnsi" w:cstheme="majorHAnsi"/>
        </w:rPr>
        <w:t>and on specific activities within Commonwealth agencies. However, the complex nature of the intergovernmental arrangements in the MDB make it hard to be clear about how specific policy responsibilities are allocated, and the degree to which overall progress is being made on key dimension</w:t>
      </w:r>
      <w:r w:rsidR="006E2DDA" w:rsidRPr="00AD1496">
        <w:rPr>
          <w:rFonts w:asciiTheme="majorHAnsi" w:hAnsiTheme="majorHAnsi" w:cstheme="majorHAnsi"/>
        </w:rPr>
        <w:t>s</w:t>
      </w:r>
      <w:r w:rsidRPr="00AD1496">
        <w:rPr>
          <w:rFonts w:asciiTheme="majorHAnsi" w:hAnsiTheme="majorHAnsi" w:cstheme="majorHAnsi"/>
        </w:rPr>
        <w:t xml:space="preserve"> of the reforms. </w:t>
      </w:r>
    </w:p>
    <w:p w14:paraId="6EFBBFA7" w14:textId="66C0A1FC" w:rsidR="00706477" w:rsidRPr="00AD1496" w:rsidRDefault="00706477" w:rsidP="00706477">
      <w:pPr>
        <w:pStyle w:val="Heading3"/>
        <w:rPr>
          <w:rFonts w:asciiTheme="majorHAnsi" w:hAnsiTheme="majorHAnsi" w:cstheme="majorHAnsi"/>
        </w:rPr>
      </w:pPr>
      <w:bookmarkStart w:id="56" w:name="_enlv5ypgdtao" w:colFirst="0" w:colLast="0"/>
      <w:bookmarkEnd w:id="56"/>
      <w:r w:rsidRPr="00AD1496">
        <w:rPr>
          <w:rFonts w:asciiTheme="majorHAnsi" w:hAnsiTheme="majorHAnsi" w:cstheme="majorHAnsi"/>
        </w:rPr>
        <w:t>Recommendations</w:t>
      </w:r>
    </w:p>
    <w:p w14:paraId="07132F98" w14:textId="3904E7E8" w:rsidR="00DC7FE4" w:rsidRPr="00AD1496" w:rsidRDefault="00DC7FE4" w:rsidP="00DC7FE4">
      <w:pPr>
        <w:rPr>
          <w:rFonts w:asciiTheme="majorHAnsi" w:hAnsiTheme="majorHAnsi" w:cstheme="majorHAnsi"/>
        </w:rPr>
      </w:pPr>
      <w:r w:rsidRPr="00AD1496">
        <w:rPr>
          <w:rFonts w:asciiTheme="majorHAnsi" w:hAnsiTheme="majorHAnsi" w:cstheme="majorHAnsi"/>
        </w:rPr>
        <w:t>We have developed the following recommendations in response to the review findings.</w:t>
      </w:r>
    </w:p>
    <w:p w14:paraId="00270C5A" w14:textId="2B6B8EC3" w:rsidR="00C8139F" w:rsidRPr="00AD1496" w:rsidRDefault="00706477" w:rsidP="00706477">
      <w:pPr>
        <w:pStyle w:val="Heading4"/>
        <w:rPr>
          <w:rFonts w:asciiTheme="majorHAnsi" w:hAnsiTheme="majorHAnsi" w:cstheme="majorHAnsi"/>
        </w:rPr>
      </w:pPr>
      <w:r w:rsidRPr="00AD1496">
        <w:rPr>
          <w:rFonts w:asciiTheme="majorHAnsi" w:hAnsiTheme="majorHAnsi" w:cstheme="majorHAnsi"/>
        </w:rPr>
        <w:lastRenderedPageBreak/>
        <w:t xml:space="preserve">Focus </w:t>
      </w:r>
      <w:r w:rsidR="00C8139F" w:rsidRPr="00AD1496">
        <w:rPr>
          <w:rFonts w:asciiTheme="majorHAnsi" w:hAnsiTheme="majorHAnsi" w:cstheme="majorHAnsi"/>
        </w:rPr>
        <w:t xml:space="preserve">of future </w:t>
      </w:r>
      <w:r w:rsidR="00BE3434" w:rsidRPr="00AD1496">
        <w:rPr>
          <w:rFonts w:asciiTheme="majorHAnsi" w:hAnsiTheme="majorHAnsi" w:cstheme="majorHAnsi"/>
        </w:rPr>
        <w:t>agreements</w:t>
      </w:r>
    </w:p>
    <w:p w14:paraId="751199A8" w14:textId="77777777" w:rsidR="00C8139F" w:rsidRPr="00AD1496" w:rsidRDefault="00C8139F" w:rsidP="00C8139F">
      <w:pPr>
        <w:rPr>
          <w:rFonts w:asciiTheme="majorHAnsi" w:hAnsiTheme="majorHAnsi" w:cstheme="majorHAnsi"/>
        </w:rPr>
      </w:pPr>
      <w:r w:rsidRPr="00AD1496">
        <w:rPr>
          <w:rFonts w:asciiTheme="majorHAnsi" w:hAnsiTheme="majorHAnsi" w:cstheme="majorHAnsi"/>
        </w:rPr>
        <w:t>The NPA is explicitly and implicitly linked to other complex policy instruments like the Basin Plan, making for a complex policy and administrative environment in which to deliver and report on reforms. The reforms are a work in progress, and the nature of future reform targets and the detail of future progress measures remains unclear.</w:t>
      </w:r>
    </w:p>
    <w:p w14:paraId="7C4DDAFB" w14:textId="77777777" w:rsidR="00706477" w:rsidRPr="00AD1496" w:rsidRDefault="00C8139F" w:rsidP="00706477">
      <w:pPr>
        <w:pStyle w:val="aaaRechead"/>
        <w:rPr>
          <w:rFonts w:asciiTheme="majorHAnsi" w:hAnsiTheme="majorHAnsi" w:cstheme="majorHAnsi"/>
        </w:rPr>
      </w:pPr>
      <w:bookmarkStart w:id="57" w:name="_7ea8y1nbqqnt" w:colFirst="0" w:colLast="0"/>
      <w:bookmarkEnd w:id="57"/>
      <w:r w:rsidRPr="00AD1496">
        <w:rPr>
          <w:rFonts w:asciiTheme="majorHAnsi" w:hAnsiTheme="majorHAnsi" w:cstheme="majorHAnsi"/>
        </w:rPr>
        <w:t>Recommendation 1</w:t>
      </w:r>
    </w:p>
    <w:p w14:paraId="3F40AE61" w14:textId="5D4A0926" w:rsidR="00C8139F" w:rsidRPr="00AD1496" w:rsidRDefault="00C8139F" w:rsidP="00706477">
      <w:pPr>
        <w:pStyle w:val="aaRec"/>
        <w:rPr>
          <w:rFonts w:asciiTheme="majorHAnsi" w:hAnsiTheme="majorHAnsi" w:cstheme="majorHAnsi"/>
        </w:rPr>
      </w:pPr>
      <w:r w:rsidRPr="00AD1496">
        <w:rPr>
          <w:rFonts w:asciiTheme="majorHAnsi" w:hAnsiTheme="majorHAnsi" w:cstheme="majorHAnsi"/>
        </w:rPr>
        <w:t>A future NPA should be closely aligned with major policy reform targets to guide and</w:t>
      </w:r>
      <w:r w:rsidR="00706477" w:rsidRPr="00AD1496">
        <w:rPr>
          <w:rFonts w:asciiTheme="majorHAnsi" w:hAnsiTheme="majorHAnsi" w:cstheme="majorHAnsi"/>
        </w:rPr>
        <w:t xml:space="preserve"> </w:t>
      </w:r>
      <w:r w:rsidRPr="00AD1496">
        <w:rPr>
          <w:rFonts w:asciiTheme="majorHAnsi" w:hAnsiTheme="majorHAnsi" w:cstheme="majorHAnsi"/>
        </w:rPr>
        <w:t>achieve strategic outcomes.</w:t>
      </w:r>
    </w:p>
    <w:p w14:paraId="034D6F36" w14:textId="77777777" w:rsidR="000D40ED" w:rsidRPr="00AD1496" w:rsidRDefault="000D40ED" w:rsidP="00706477">
      <w:pPr>
        <w:pStyle w:val="Heading4"/>
        <w:rPr>
          <w:rFonts w:asciiTheme="majorHAnsi" w:hAnsiTheme="majorHAnsi" w:cstheme="majorHAnsi"/>
          <w:szCs w:val="30"/>
        </w:rPr>
      </w:pPr>
      <w:r w:rsidRPr="00AD1496">
        <w:rPr>
          <w:rFonts w:asciiTheme="majorHAnsi" w:hAnsiTheme="majorHAnsi" w:cstheme="majorHAnsi"/>
        </w:rPr>
        <w:t>Milestones and the specification of KPIs</w:t>
      </w:r>
    </w:p>
    <w:p w14:paraId="7DED8645" w14:textId="623E3820" w:rsidR="0067763D" w:rsidRPr="00AD1496" w:rsidRDefault="000D40ED" w:rsidP="000D40ED">
      <w:pPr>
        <w:rPr>
          <w:rFonts w:asciiTheme="majorHAnsi" w:hAnsiTheme="majorHAnsi" w:cstheme="majorHAnsi"/>
        </w:rPr>
      </w:pPr>
      <w:r w:rsidRPr="00AD1496">
        <w:rPr>
          <w:rFonts w:asciiTheme="majorHAnsi" w:hAnsiTheme="majorHAnsi" w:cstheme="majorHAnsi"/>
        </w:rPr>
        <w:t xml:space="preserve">The review found that the majority of milestones were met, despite a trend </w:t>
      </w:r>
      <w:r w:rsidR="004A322C" w:rsidRPr="00AD1496">
        <w:rPr>
          <w:rFonts w:asciiTheme="majorHAnsi" w:hAnsiTheme="majorHAnsi" w:cstheme="majorHAnsi"/>
        </w:rPr>
        <w:t xml:space="preserve">towards </w:t>
      </w:r>
      <w:r w:rsidRPr="00AD1496">
        <w:rPr>
          <w:rFonts w:asciiTheme="majorHAnsi" w:hAnsiTheme="majorHAnsi" w:cstheme="majorHAnsi"/>
        </w:rPr>
        <w:t>States only partially meeting mile</w:t>
      </w:r>
      <w:r w:rsidRPr="00AD1496">
        <w:rPr>
          <w:rFonts w:asciiTheme="majorHAnsi" w:hAnsiTheme="majorHAnsi" w:cstheme="majorHAnsi"/>
        </w:rPr>
        <w:lastRenderedPageBreak/>
        <w:t>stones in recent years. States generally delivered timely annual reports</w:t>
      </w:r>
      <w:r w:rsidRPr="00AD1496">
        <w:rPr>
          <w:rStyle w:val="FootnoteReference"/>
          <w:rFonts w:asciiTheme="majorHAnsi" w:hAnsiTheme="majorHAnsi" w:cstheme="majorHAnsi"/>
        </w:rPr>
        <w:footnoteReference w:id="11"/>
      </w:r>
      <w:r w:rsidRPr="00AD1496">
        <w:rPr>
          <w:rFonts w:asciiTheme="majorHAnsi" w:hAnsiTheme="majorHAnsi" w:cstheme="majorHAnsi"/>
        </w:rPr>
        <w:t xml:space="preserve"> and the Commonwealth released payments </w:t>
      </w:r>
      <w:r w:rsidR="00845174">
        <w:rPr>
          <w:rFonts w:asciiTheme="majorHAnsi" w:hAnsiTheme="majorHAnsi" w:cstheme="majorHAnsi"/>
        </w:rPr>
        <w:t xml:space="preserve">(where milestones were met, or partially met) </w:t>
      </w:r>
      <w:r w:rsidRPr="00AD1496">
        <w:rPr>
          <w:rFonts w:asciiTheme="majorHAnsi" w:hAnsiTheme="majorHAnsi" w:cstheme="majorHAnsi"/>
        </w:rPr>
        <w:t>in accordance with the timeframes</w:t>
      </w:r>
      <w:r w:rsidR="00845174">
        <w:rPr>
          <w:rFonts w:asciiTheme="majorHAnsi" w:hAnsiTheme="majorHAnsi" w:cstheme="majorHAnsi"/>
        </w:rPr>
        <w:t xml:space="preserve"> set out in the NPA</w:t>
      </w:r>
      <w:r w:rsidRPr="00AD1496">
        <w:rPr>
          <w:rFonts w:asciiTheme="majorHAnsi" w:hAnsiTheme="majorHAnsi" w:cstheme="majorHAnsi"/>
        </w:rPr>
        <w:t>, despite some payments being made just prior to the end of financial year</w:t>
      </w:r>
      <w:r w:rsidRPr="00AD1496">
        <w:rPr>
          <w:rFonts w:asciiTheme="majorHAnsi" w:hAnsiTheme="majorHAnsi" w:cstheme="majorHAnsi"/>
          <w:vertAlign w:val="superscript"/>
        </w:rPr>
        <w:footnoteReference w:id="12"/>
      </w:r>
      <w:r w:rsidRPr="00AD1496">
        <w:rPr>
          <w:rFonts w:asciiTheme="majorHAnsi" w:hAnsiTheme="majorHAnsi" w:cstheme="majorHAnsi"/>
        </w:rPr>
        <w:t xml:space="preserve">. </w:t>
      </w:r>
    </w:p>
    <w:p w14:paraId="1F0D580F" w14:textId="7D613F0B" w:rsidR="0067763D" w:rsidRPr="00AD1496" w:rsidRDefault="008C02DC" w:rsidP="000D40ED">
      <w:pPr>
        <w:rPr>
          <w:rFonts w:asciiTheme="majorHAnsi" w:hAnsiTheme="majorHAnsi" w:cstheme="majorHAnsi"/>
        </w:rPr>
      </w:pPr>
      <w:r w:rsidRPr="00AD1496">
        <w:rPr>
          <w:rFonts w:asciiTheme="majorHAnsi" w:hAnsiTheme="majorHAnsi" w:cstheme="majorHAnsi"/>
        </w:rPr>
        <w:t>As the NPA progressed</w:t>
      </w:r>
      <w:r w:rsidR="00654817">
        <w:rPr>
          <w:rFonts w:asciiTheme="majorHAnsi" w:hAnsiTheme="majorHAnsi" w:cstheme="majorHAnsi"/>
        </w:rPr>
        <w:t xml:space="preserve"> and deadlines approached</w:t>
      </w:r>
      <w:r w:rsidRPr="00AD1496">
        <w:rPr>
          <w:rFonts w:asciiTheme="majorHAnsi" w:hAnsiTheme="majorHAnsi" w:cstheme="majorHAnsi"/>
        </w:rPr>
        <w:t xml:space="preserve">, the </w:t>
      </w:r>
      <w:r w:rsidR="00654817">
        <w:rPr>
          <w:rFonts w:asciiTheme="majorHAnsi" w:hAnsiTheme="majorHAnsi" w:cstheme="majorHAnsi"/>
        </w:rPr>
        <w:t xml:space="preserve">nature of the </w:t>
      </w:r>
      <w:r w:rsidR="002C7327">
        <w:rPr>
          <w:rFonts w:asciiTheme="majorHAnsi" w:hAnsiTheme="majorHAnsi" w:cstheme="majorHAnsi"/>
        </w:rPr>
        <w:t>m</w:t>
      </w:r>
      <w:r w:rsidR="00654817">
        <w:rPr>
          <w:rFonts w:asciiTheme="majorHAnsi" w:hAnsiTheme="majorHAnsi" w:cstheme="majorHAnsi"/>
        </w:rPr>
        <w:t xml:space="preserve">ilestones meant the </w:t>
      </w:r>
      <w:r w:rsidRPr="00AD1496">
        <w:rPr>
          <w:rFonts w:asciiTheme="majorHAnsi" w:hAnsiTheme="majorHAnsi" w:cstheme="majorHAnsi"/>
        </w:rPr>
        <w:t xml:space="preserve">Commonwealth </w:t>
      </w:r>
      <w:r w:rsidR="00654817">
        <w:rPr>
          <w:rFonts w:asciiTheme="majorHAnsi" w:hAnsiTheme="majorHAnsi" w:cstheme="majorHAnsi"/>
        </w:rPr>
        <w:t xml:space="preserve">needed more detail from the States to assess progress adequately. </w:t>
      </w:r>
      <w:r w:rsidR="002C7327">
        <w:rPr>
          <w:rFonts w:asciiTheme="majorHAnsi" w:hAnsiTheme="majorHAnsi" w:cstheme="majorHAnsi"/>
        </w:rPr>
        <w:t>The outcomes of the mid-term review and the ANAO inquiries, and the inclusion of Compliance Compact reporting</w:t>
      </w:r>
      <w:r w:rsidR="00654817">
        <w:rPr>
          <w:rFonts w:asciiTheme="majorHAnsi" w:hAnsiTheme="majorHAnsi" w:cstheme="majorHAnsi"/>
        </w:rPr>
        <w:t xml:space="preserve"> </w:t>
      </w:r>
      <w:r w:rsidR="002C7327">
        <w:rPr>
          <w:rFonts w:asciiTheme="majorHAnsi" w:hAnsiTheme="majorHAnsi" w:cstheme="majorHAnsi"/>
        </w:rPr>
        <w:t>also made the assessment process more complex</w:t>
      </w:r>
      <w:r w:rsidRPr="00AD1496">
        <w:rPr>
          <w:rFonts w:asciiTheme="majorHAnsi" w:hAnsiTheme="majorHAnsi" w:cstheme="majorHAnsi"/>
        </w:rPr>
        <w:t>. In line with this, reporting requirements increased for Basin States.</w:t>
      </w:r>
    </w:p>
    <w:p w14:paraId="4CB014E0" w14:textId="673AE1AF" w:rsidR="000D40ED" w:rsidRPr="00AD1496" w:rsidRDefault="000D40ED" w:rsidP="000D40ED">
      <w:pPr>
        <w:rPr>
          <w:rFonts w:asciiTheme="majorHAnsi" w:hAnsiTheme="majorHAnsi" w:cstheme="majorHAnsi"/>
          <w:color w:val="FF0000"/>
        </w:rPr>
      </w:pPr>
      <w:r w:rsidRPr="00AD1496">
        <w:rPr>
          <w:rFonts w:asciiTheme="majorHAnsi" w:hAnsiTheme="majorHAnsi" w:cstheme="majorHAnsi"/>
        </w:rPr>
        <w:lastRenderedPageBreak/>
        <w:t xml:space="preserve">However, the lack of detail in NPA milestones has caused problems for both the Department in measuring performance against performance indicators, as well as </w:t>
      </w:r>
      <w:r w:rsidR="002C7327">
        <w:rPr>
          <w:rFonts w:asciiTheme="majorHAnsi" w:hAnsiTheme="majorHAnsi" w:cstheme="majorHAnsi"/>
        </w:rPr>
        <w:t xml:space="preserve">the </w:t>
      </w:r>
      <w:r w:rsidRPr="00AD1496">
        <w:rPr>
          <w:rFonts w:asciiTheme="majorHAnsi" w:hAnsiTheme="majorHAnsi" w:cstheme="majorHAnsi"/>
        </w:rPr>
        <w:t xml:space="preserve">States in delivering </w:t>
      </w:r>
      <w:r w:rsidR="00A235B8" w:rsidRPr="00AD1496">
        <w:rPr>
          <w:rFonts w:asciiTheme="majorHAnsi" w:hAnsiTheme="majorHAnsi" w:cstheme="majorHAnsi"/>
        </w:rPr>
        <w:t>against them</w:t>
      </w:r>
      <w:r w:rsidR="008C02DC" w:rsidRPr="00AD1496">
        <w:rPr>
          <w:rFonts w:asciiTheme="majorHAnsi" w:hAnsiTheme="majorHAnsi" w:cstheme="majorHAnsi"/>
        </w:rPr>
        <w:t xml:space="preserve">. </w:t>
      </w:r>
      <w:r w:rsidR="002C7327">
        <w:rPr>
          <w:rFonts w:asciiTheme="majorHAnsi" w:hAnsiTheme="majorHAnsi" w:cstheme="majorHAnsi"/>
        </w:rPr>
        <w:t>As t</w:t>
      </w:r>
      <w:r w:rsidR="008C02DC" w:rsidRPr="00AD1496">
        <w:rPr>
          <w:rFonts w:asciiTheme="majorHAnsi" w:hAnsiTheme="majorHAnsi" w:cstheme="majorHAnsi"/>
        </w:rPr>
        <w:t>he inclusion of additional milestones to pay for progress towards outcomes would increase the level and reporting requirements for the States</w:t>
      </w:r>
      <w:r w:rsidR="002C7327">
        <w:rPr>
          <w:rFonts w:asciiTheme="majorHAnsi" w:hAnsiTheme="majorHAnsi" w:cstheme="majorHAnsi"/>
        </w:rPr>
        <w:t xml:space="preserve"> (which </w:t>
      </w:r>
      <w:r w:rsidR="008C02DC" w:rsidRPr="00AD1496">
        <w:rPr>
          <w:rFonts w:asciiTheme="majorHAnsi" w:hAnsiTheme="majorHAnsi" w:cstheme="majorHAnsi"/>
        </w:rPr>
        <w:t>has been a cause for concern</w:t>
      </w:r>
      <w:r w:rsidR="002C7327">
        <w:rPr>
          <w:rFonts w:asciiTheme="majorHAnsi" w:hAnsiTheme="majorHAnsi" w:cstheme="majorHAnsi"/>
        </w:rPr>
        <w:t xml:space="preserve">) </w:t>
      </w:r>
      <w:r w:rsidR="001A5F9C">
        <w:rPr>
          <w:rFonts w:asciiTheme="majorHAnsi" w:hAnsiTheme="majorHAnsi" w:cstheme="majorHAnsi"/>
        </w:rPr>
        <w:t>it may be most appropriate to adopt clear, graduated milestones based on ambitious targets which minimise the need for subjective judgements, without creating an excessive number of milestones</w:t>
      </w:r>
      <w:r w:rsidR="000167B4">
        <w:rPr>
          <w:rFonts w:asciiTheme="majorHAnsi" w:hAnsiTheme="majorHAnsi" w:cstheme="majorHAnsi"/>
        </w:rPr>
        <w:t>.</w:t>
      </w:r>
    </w:p>
    <w:p w14:paraId="61553721" w14:textId="77777777" w:rsidR="00706477" w:rsidRPr="00AD1496" w:rsidRDefault="000D40ED" w:rsidP="00706477">
      <w:pPr>
        <w:pStyle w:val="aaaRechead"/>
        <w:rPr>
          <w:rFonts w:asciiTheme="majorHAnsi" w:hAnsiTheme="majorHAnsi" w:cstheme="majorHAnsi"/>
        </w:rPr>
      </w:pPr>
      <w:bookmarkStart w:id="58" w:name="_3r9xmn16awjp" w:colFirst="0" w:colLast="0"/>
      <w:bookmarkEnd w:id="58"/>
      <w:r w:rsidRPr="00AD1496">
        <w:rPr>
          <w:rFonts w:asciiTheme="majorHAnsi" w:hAnsiTheme="majorHAnsi" w:cstheme="majorHAnsi"/>
        </w:rPr>
        <w:t>Recommendation 2</w:t>
      </w:r>
    </w:p>
    <w:p w14:paraId="1A1DC04D" w14:textId="2FD14D09" w:rsidR="000D40ED" w:rsidRPr="00AD1496" w:rsidRDefault="000D40ED" w:rsidP="00706477">
      <w:pPr>
        <w:pStyle w:val="aaRec"/>
        <w:rPr>
          <w:rFonts w:asciiTheme="majorHAnsi" w:hAnsiTheme="majorHAnsi" w:cstheme="majorHAnsi"/>
        </w:rPr>
      </w:pPr>
      <w:r w:rsidRPr="00AD1496">
        <w:rPr>
          <w:rFonts w:asciiTheme="majorHAnsi" w:hAnsiTheme="majorHAnsi" w:cstheme="majorHAnsi"/>
        </w:rPr>
        <w:t xml:space="preserve">Any future agreement </w:t>
      </w:r>
      <w:r w:rsidR="00DC7FE4" w:rsidRPr="00AD1496">
        <w:rPr>
          <w:rFonts w:asciiTheme="majorHAnsi" w:hAnsiTheme="majorHAnsi" w:cstheme="majorHAnsi"/>
        </w:rPr>
        <w:t>would be improved through the use of</w:t>
      </w:r>
      <w:r w:rsidRPr="00AD1496">
        <w:rPr>
          <w:rFonts w:asciiTheme="majorHAnsi" w:hAnsiTheme="majorHAnsi" w:cstheme="majorHAnsi"/>
        </w:rPr>
        <w:t xml:space="preserve"> clear and prescriptive milestones</w:t>
      </w:r>
      <w:r w:rsidR="001A5F9C">
        <w:rPr>
          <w:rFonts w:asciiTheme="majorHAnsi" w:hAnsiTheme="majorHAnsi" w:cstheme="majorHAnsi"/>
        </w:rPr>
        <w:t xml:space="preserve"> </w:t>
      </w:r>
      <w:r w:rsidRPr="00AD1496">
        <w:rPr>
          <w:rFonts w:asciiTheme="majorHAnsi" w:hAnsiTheme="majorHAnsi" w:cstheme="majorHAnsi"/>
        </w:rPr>
        <w:t xml:space="preserve">and KPIs. These should define the scope of each milestone, in line with the principles codified in the Intergovernmental Agreement on Federal Financial Relations (see </w:t>
      </w:r>
      <w:r w:rsidRPr="00AD1496">
        <w:rPr>
          <w:rFonts w:asciiTheme="majorHAnsi" w:hAnsiTheme="majorHAnsi" w:cstheme="majorHAnsi"/>
        </w:rPr>
        <w:fldChar w:fldCharType="begin"/>
      </w:r>
      <w:r w:rsidRPr="00AD1496">
        <w:rPr>
          <w:rFonts w:asciiTheme="majorHAnsi" w:hAnsiTheme="majorHAnsi" w:cstheme="majorHAnsi"/>
        </w:rPr>
        <w:instrText xml:space="preserve"> REF _Ref14083916 \r \h </w:instrText>
      </w:r>
      <w:r w:rsidR="00706477" w:rsidRPr="00AD1496">
        <w:rPr>
          <w:rFonts w:asciiTheme="majorHAnsi" w:hAnsiTheme="majorHAnsi" w:cstheme="majorHAnsi"/>
        </w:rPr>
        <w:instrText xml:space="preserve"> \* MERGEFORMAT </w:instrText>
      </w:r>
      <w:r w:rsidRPr="00AD1496">
        <w:rPr>
          <w:rFonts w:asciiTheme="majorHAnsi" w:hAnsiTheme="majorHAnsi" w:cstheme="majorHAnsi"/>
        </w:rPr>
      </w:r>
      <w:r w:rsidRPr="00AD1496">
        <w:rPr>
          <w:rFonts w:asciiTheme="majorHAnsi" w:hAnsiTheme="majorHAnsi" w:cstheme="majorHAnsi"/>
        </w:rPr>
        <w:fldChar w:fldCharType="separate"/>
      </w:r>
      <w:r w:rsidR="00DF313B">
        <w:rPr>
          <w:rFonts w:asciiTheme="majorHAnsi" w:hAnsiTheme="majorHAnsi" w:cstheme="majorHAnsi"/>
        </w:rPr>
        <w:t>Appendix 3</w:t>
      </w:r>
      <w:r w:rsidRPr="00AD1496">
        <w:rPr>
          <w:rFonts w:asciiTheme="majorHAnsi" w:hAnsiTheme="majorHAnsi" w:cstheme="majorHAnsi"/>
        </w:rPr>
        <w:fldChar w:fldCharType="end"/>
      </w:r>
      <w:r w:rsidRPr="00AD1496">
        <w:rPr>
          <w:rFonts w:asciiTheme="majorHAnsi" w:hAnsiTheme="majorHAnsi" w:cstheme="majorHAnsi"/>
        </w:rPr>
        <w:t>). It should also clearly specify the ways these will be measured, reported on and assessed.</w:t>
      </w:r>
    </w:p>
    <w:p w14:paraId="439B0722" w14:textId="7401A0A7" w:rsidR="00F24703" w:rsidRPr="00AD1496" w:rsidRDefault="000D40ED" w:rsidP="00F24703">
      <w:pPr>
        <w:spacing w:after="0"/>
        <w:rPr>
          <w:rFonts w:asciiTheme="majorHAnsi" w:hAnsiTheme="majorHAnsi" w:cstheme="majorHAnsi"/>
        </w:rPr>
      </w:pPr>
      <w:r w:rsidRPr="00AD1496">
        <w:rPr>
          <w:rFonts w:asciiTheme="majorHAnsi" w:hAnsiTheme="majorHAnsi" w:cstheme="majorHAnsi"/>
        </w:rPr>
        <w:lastRenderedPageBreak/>
        <w:t xml:space="preserve">It is important to recognise that for future agreements the formal nature and documentation of an NPA plays an important role in guiding the work of agencies—especially through periods of staff turnover, </w:t>
      </w:r>
      <w:r w:rsidR="00DC7FE4" w:rsidRPr="00AD1496">
        <w:rPr>
          <w:rFonts w:asciiTheme="majorHAnsi" w:hAnsiTheme="majorHAnsi" w:cstheme="majorHAnsi"/>
        </w:rPr>
        <w:t xml:space="preserve">machinery of government </w:t>
      </w:r>
      <w:r w:rsidRPr="00AD1496">
        <w:rPr>
          <w:rFonts w:asciiTheme="majorHAnsi" w:hAnsiTheme="majorHAnsi" w:cstheme="majorHAnsi"/>
        </w:rPr>
        <w:t xml:space="preserve">changes and external pressures on their work. Therefore, the more clearly </w:t>
      </w:r>
      <w:r w:rsidR="00DC7FE4" w:rsidRPr="00AD1496">
        <w:rPr>
          <w:rFonts w:asciiTheme="majorHAnsi" w:hAnsiTheme="majorHAnsi" w:cstheme="majorHAnsi"/>
        </w:rPr>
        <w:t xml:space="preserve">that </w:t>
      </w:r>
      <w:r w:rsidRPr="00AD1496">
        <w:rPr>
          <w:rFonts w:asciiTheme="majorHAnsi" w:hAnsiTheme="majorHAnsi" w:cstheme="majorHAnsi"/>
        </w:rPr>
        <w:t>processes, standards and obligations are specified, the more the document acts to guide the work of multiple agencies over the life of the agreement. This eliminates disagreement between the parties to the agreement about the original intention or reporting expectations</w:t>
      </w:r>
      <w:r w:rsidR="00A235B8" w:rsidRPr="00AD1496">
        <w:rPr>
          <w:rFonts w:asciiTheme="majorHAnsi" w:hAnsiTheme="majorHAnsi" w:cstheme="majorHAnsi"/>
        </w:rPr>
        <w:t>.</w:t>
      </w:r>
    </w:p>
    <w:p w14:paraId="5CA22153" w14:textId="77777777" w:rsidR="00706477" w:rsidRPr="00AD1496" w:rsidRDefault="000D40ED" w:rsidP="00706477">
      <w:pPr>
        <w:pStyle w:val="aaaRechead"/>
        <w:rPr>
          <w:rFonts w:asciiTheme="majorHAnsi" w:hAnsiTheme="majorHAnsi" w:cstheme="majorHAnsi"/>
        </w:rPr>
      </w:pPr>
      <w:bookmarkStart w:id="59" w:name="_nygw3kg9nrwc" w:colFirst="0" w:colLast="0"/>
      <w:bookmarkEnd w:id="59"/>
      <w:r w:rsidRPr="00AD1496">
        <w:rPr>
          <w:rFonts w:asciiTheme="majorHAnsi" w:hAnsiTheme="majorHAnsi" w:cstheme="majorHAnsi"/>
        </w:rPr>
        <w:t>Recommendation 3</w:t>
      </w:r>
    </w:p>
    <w:p w14:paraId="48B0816D" w14:textId="09D572CF" w:rsidR="000D40ED" w:rsidRPr="00AD1496" w:rsidRDefault="000D40ED" w:rsidP="00706477">
      <w:pPr>
        <w:pStyle w:val="aaRec"/>
        <w:rPr>
          <w:rFonts w:asciiTheme="majorHAnsi" w:hAnsiTheme="majorHAnsi" w:cstheme="majorHAnsi"/>
        </w:rPr>
      </w:pPr>
      <w:r w:rsidRPr="00AD1496">
        <w:rPr>
          <w:rFonts w:asciiTheme="majorHAnsi" w:hAnsiTheme="majorHAnsi" w:cstheme="majorHAnsi"/>
        </w:rPr>
        <w:t>Any future NPA needs to more clearly specify the processes, standards and obligations of all parties in order for the agreement’s documentation to guide the future work of multiple agencies over the life of the agreement.</w:t>
      </w:r>
    </w:p>
    <w:p w14:paraId="12034BDA" w14:textId="18B1A7CB" w:rsidR="00706477" w:rsidRPr="00AD1496" w:rsidRDefault="00706477" w:rsidP="00706477">
      <w:pPr>
        <w:pStyle w:val="Heading4"/>
        <w:rPr>
          <w:rFonts w:asciiTheme="majorHAnsi" w:hAnsiTheme="majorHAnsi" w:cstheme="majorHAnsi"/>
        </w:rPr>
      </w:pPr>
      <w:r w:rsidRPr="00AD1496">
        <w:rPr>
          <w:rFonts w:asciiTheme="majorHAnsi" w:hAnsiTheme="majorHAnsi" w:cstheme="majorHAnsi"/>
        </w:rPr>
        <w:lastRenderedPageBreak/>
        <w:t xml:space="preserve">Structure of future </w:t>
      </w:r>
      <w:r w:rsidR="00BE3434" w:rsidRPr="00AD1496">
        <w:rPr>
          <w:rFonts w:asciiTheme="majorHAnsi" w:hAnsiTheme="majorHAnsi" w:cstheme="majorHAnsi"/>
        </w:rPr>
        <w:t>agreements</w:t>
      </w:r>
    </w:p>
    <w:p w14:paraId="653442DB" w14:textId="77777777" w:rsidR="00706477" w:rsidRPr="00AD1496" w:rsidRDefault="00706477" w:rsidP="00706477">
      <w:pPr>
        <w:rPr>
          <w:rFonts w:asciiTheme="majorHAnsi" w:hAnsiTheme="majorHAnsi" w:cstheme="majorHAnsi"/>
        </w:rPr>
      </w:pPr>
      <w:r w:rsidRPr="00AD1496">
        <w:rPr>
          <w:rFonts w:asciiTheme="majorHAnsi" w:hAnsiTheme="majorHAnsi" w:cstheme="majorHAnsi"/>
        </w:rPr>
        <w:t>Consultation with central agencies and States identified several opportunities for enhancing a future NPA. In addition to clearly defined milestones and more prescriptive outputs and outcomes, suggestions included:</w:t>
      </w:r>
    </w:p>
    <w:p w14:paraId="20F5C120" w14:textId="7ED9E099" w:rsidR="00706477" w:rsidRPr="00AD1496" w:rsidRDefault="00A079B2" w:rsidP="00DC7FE4">
      <w:pPr>
        <w:pStyle w:val="ListBullet"/>
        <w:rPr>
          <w:rFonts w:asciiTheme="majorHAnsi" w:hAnsiTheme="majorHAnsi" w:cstheme="majorHAnsi"/>
          <w:color w:val="000000"/>
        </w:rPr>
      </w:pPr>
      <w:r w:rsidRPr="00AD1496">
        <w:rPr>
          <w:rFonts w:asciiTheme="majorHAnsi" w:hAnsiTheme="majorHAnsi" w:cstheme="majorHAnsi"/>
        </w:rPr>
        <w:t>Design</w:t>
      </w:r>
      <w:r w:rsidR="00A47172" w:rsidRPr="00AD1496">
        <w:rPr>
          <w:rFonts w:asciiTheme="majorHAnsi" w:hAnsiTheme="majorHAnsi" w:cstheme="majorHAnsi"/>
        </w:rPr>
        <w:t>ing</w:t>
      </w:r>
      <w:r w:rsidRPr="00AD1496">
        <w:rPr>
          <w:rFonts w:asciiTheme="majorHAnsi" w:hAnsiTheme="majorHAnsi" w:cstheme="majorHAnsi"/>
        </w:rPr>
        <w:t xml:space="preserve"> any future, similar</w:t>
      </w:r>
      <w:r w:rsidR="00706477" w:rsidRPr="00AD1496">
        <w:rPr>
          <w:rFonts w:asciiTheme="majorHAnsi" w:hAnsiTheme="majorHAnsi" w:cstheme="majorHAnsi"/>
        </w:rPr>
        <w:t xml:space="preserve"> NPA</w:t>
      </w:r>
      <w:r w:rsidRPr="00AD1496">
        <w:rPr>
          <w:rFonts w:asciiTheme="majorHAnsi" w:hAnsiTheme="majorHAnsi" w:cstheme="majorHAnsi"/>
        </w:rPr>
        <w:t>s</w:t>
      </w:r>
      <w:r w:rsidR="00706477" w:rsidRPr="00AD1496">
        <w:rPr>
          <w:rFonts w:asciiTheme="majorHAnsi" w:hAnsiTheme="majorHAnsi" w:cstheme="majorHAnsi"/>
        </w:rPr>
        <w:t xml:space="preserve"> as an overarching framework, or head agreement, setting out high level outcomes. This would be complemented by schedules to this agreement. These schedules would include clearly defined implementation schedules and detailed sub-milestones and KPIs.</w:t>
      </w:r>
    </w:p>
    <w:p w14:paraId="0EFE9BE1" w14:textId="4C17E3A5" w:rsidR="00706477" w:rsidRPr="00AD1496" w:rsidRDefault="00706477" w:rsidP="00DC7FE4">
      <w:pPr>
        <w:pStyle w:val="ListBullet"/>
        <w:rPr>
          <w:rFonts w:asciiTheme="majorHAnsi" w:hAnsiTheme="majorHAnsi" w:cstheme="majorHAnsi"/>
          <w:color w:val="000000"/>
        </w:rPr>
      </w:pPr>
      <w:r w:rsidRPr="00AD1496">
        <w:rPr>
          <w:rFonts w:asciiTheme="majorHAnsi" w:hAnsiTheme="majorHAnsi" w:cstheme="majorHAnsi"/>
        </w:rPr>
        <w:t>Being flexible with implementation timeframes where there are reasonable grounds for renegotiation</w:t>
      </w:r>
      <w:r w:rsidR="006D6048" w:rsidRPr="00AD1496">
        <w:rPr>
          <w:rFonts w:asciiTheme="majorHAnsi" w:hAnsiTheme="majorHAnsi" w:cstheme="majorHAnsi"/>
        </w:rPr>
        <w:t xml:space="preserve"> </w:t>
      </w:r>
      <w:r w:rsidR="00023461" w:rsidRPr="00AD1496">
        <w:rPr>
          <w:rFonts w:asciiTheme="majorHAnsi" w:hAnsiTheme="majorHAnsi" w:cstheme="majorHAnsi"/>
        </w:rPr>
        <w:t>e.g. taking into consideration the operating environment and other variables that might mean the Basin States are unable to meet the deliverables</w:t>
      </w:r>
      <w:r w:rsidR="008B7CA3">
        <w:rPr>
          <w:rFonts w:asciiTheme="majorHAnsi" w:hAnsiTheme="majorHAnsi" w:cstheme="majorHAnsi"/>
        </w:rPr>
        <w:t xml:space="preserve"> within initially anticipated timeframes</w:t>
      </w:r>
      <w:r w:rsidR="00023461" w:rsidRPr="00AD1496">
        <w:rPr>
          <w:rFonts w:asciiTheme="majorHAnsi" w:hAnsiTheme="majorHAnsi" w:cstheme="majorHAnsi"/>
        </w:rPr>
        <w:t>.</w:t>
      </w:r>
    </w:p>
    <w:p w14:paraId="2D3C1C88" w14:textId="4E1C1596" w:rsidR="00023461" w:rsidRPr="00AD1496" w:rsidRDefault="00023461" w:rsidP="00023461">
      <w:pPr>
        <w:pStyle w:val="ListBullet"/>
        <w:rPr>
          <w:rFonts w:asciiTheme="majorHAnsi" w:hAnsiTheme="majorHAnsi" w:cstheme="majorHAnsi"/>
        </w:rPr>
      </w:pPr>
      <w:r w:rsidRPr="00AD1496">
        <w:rPr>
          <w:rFonts w:asciiTheme="majorHAnsi" w:hAnsiTheme="majorHAnsi" w:cstheme="majorHAnsi"/>
        </w:rPr>
        <w:t xml:space="preserve">Continuing to provide Basin States the opportunity to review and comment on the feedback provided by MDBA or CEWO on their annual statements. </w:t>
      </w:r>
    </w:p>
    <w:p w14:paraId="617555FA" w14:textId="77777777" w:rsidR="006D6048" w:rsidRPr="00AD1496" w:rsidRDefault="006D6048" w:rsidP="006D6048">
      <w:pPr>
        <w:pStyle w:val="ListBullet"/>
        <w:numPr>
          <w:ilvl w:val="0"/>
          <w:numId w:val="0"/>
        </w:numPr>
        <w:rPr>
          <w:rFonts w:asciiTheme="majorHAnsi" w:hAnsiTheme="majorHAnsi" w:cstheme="majorHAnsi"/>
          <w:color w:val="000000"/>
        </w:rPr>
      </w:pPr>
    </w:p>
    <w:p w14:paraId="438F119E" w14:textId="336DBA9F" w:rsidR="00706477" w:rsidRPr="00AD1496" w:rsidRDefault="00706477" w:rsidP="00706477">
      <w:pPr>
        <w:rPr>
          <w:rFonts w:asciiTheme="majorHAnsi" w:hAnsiTheme="majorHAnsi" w:cstheme="majorHAnsi"/>
        </w:rPr>
      </w:pPr>
      <w:r w:rsidRPr="00AD1496">
        <w:rPr>
          <w:rFonts w:asciiTheme="majorHAnsi" w:hAnsiTheme="majorHAnsi" w:cstheme="majorHAnsi"/>
        </w:rPr>
        <w:t>The review identified tensions between the desire for greater flexibility and open</w:t>
      </w:r>
      <w:r w:rsidR="00387AD0" w:rsidRPr="00AD1496">
        <w:rPr>
          <w:rFonts w:asciiTheme="majorHAnsi" w:hAnsiTheme="majorHAnsi" w:cstheme="majorHAnsi"/>
        </w:rPr>
        <w:t>-</w:t>
      </w:r>
      <w:r w:rsidRPr="00AD1496">
        <w:rPr>
          <w:rFonts w:asciiTheme="majorHAnsi" w:hAnsiTheme="majorHAnsi" w:cstheme="majorHAnsi"/>
        </w:rPr>
        <w:t>ended agreements, and the need for tight specification of key elements of partnership agreements.</w:t>
      </w:r>
      <w:r w:rsidR="00DC7FE4" w:rsidRPr="00AD1496">
        <w:rPr>
          <w:rFonts w:asciiTheme="majorHAnsi" w:hAnsiTheme="majorHAnsi" w:cstheme="majorHAnsi"/>
        </w:rPr>
        <w:t xml:space="preserve"> We recognise this </w:t>
      </w:r>
      <w:r w:rsidR="00387AD0" w:rsidRPr="00AD1496">
        <w:rPr>
          <w:rFonts w:asciiTheme="majorHAnsi" w:hAnsiTheme="majorHAnsi" w:cstheme="majorHAnsi"/>
        </w:rPr>
        <w:t>may be inherent in any context of long-term reform where some components are yet to be fully designed. This could be helped through a more layered agreement structure.</w:t>
      </w:r>
      <w:r w:rsidR="00901671" w:rsidRPr="00AD1496">
        <w:rPr>
          <w:rFonts w:asciiTheme="majorHAnsi" w:hAnsiTheme="majorHAnsi" w:cstheme="majorHAnsi"/>
        </w:rPr>
        <w:t xml:space="preserve"> </w:t>
      </w:r>
    </w:p>
    <w:p w14:paraId="577B195D" w14:textId="77777777" w:rsidR="00706477" w:rsidRPr="00AD1496" w:rsidRDefault="00706477" w:rsidP="00706477">
      <w:pPr>
        <w:pStyle w:val="aaaRechead"/>
        <w:rPr>
          <w:rFonts w:asciiTheme="majorHAnsi" w:hAnsiTheme="majorHAnsi" w:cstheme="majorHAnsi"/>
        </w:rPr>
      </w:pPr>
      <w:bookmarkStart w:id="60" w:name="_oyfpascigchn" w:colFirst="0" w:colLast="0"/>
      <w:bookmarkEnd w:id="60"/>
      <w:r w:rsidRPr="00AD1496">
        <w:rPr>
          <w:rFonts w:asciiTheme="majorHAnsi" w:hAnsiTheme="majorHAnsi" w:cstheme="majorHAnsi"/>
        </w:rPr>
        <w:t>Recommendation 4</w:t>
      </w:r>
    </w:p>
    <w:p w14:paraId="632DC0E9" w14:textId="7637D87E" w:rsidR="00706477" w:rsidRPr="00AD1496" w:rsidRDefault="00706477" w:rsidP="00706477">
      <w:pPr>
        <w:pStyle w:val="aaRec"/>
        <w:rPr>
          <w:rFonts w:asciiTheme="majorHAnsi" w:hAnsiTheme="majorHAnsi" w:cstheme="majorHAnsi"/>
        </w:rPr>
      </w:pPr>
      <w:r w:rsidRPr="00AD1496">
        <w:rPr>
          <w:rFonts w:asciiTheme="majorHAnsi" w:hAnsiTheme="majorHAnsi" w:cstheme="majorHAnsi"/>
        </w:rPr>
        <w:t>Consider structuring future NPAs to provide</w:t>
      </w:r>
      <w:bookmarkStart w:id="61" w:name="_2bn17p2bbeef" w:colFirst="0" w:colLast="0"/>
      <w:bookmarkEnd w:id="61"/>
      <w:r w:rsidRPr="00AD1496">
        <w:rPr>
          <w:rFonts w:asciiTheme="majorHAnsi" w:hAnsiTheme="majorHAnsi" w:cstheme="majorHAnsi"/>
        </w:rPr>
        <w:t xml:space="preserve"> an overarching framework or head agreement, setting out high level outcomes, which is complemented by schedules to this agreement with clearly defined implementation schedules and detailed milestones and KPIs; and</w:t>
      </w:r>
      <w:bookmarkStart w:id="62" w:name="_6ch2k0knlgxi" w:colFirst="0" w:colLast="0"/>
      <w:bookmarkEnd w:id="62"/>
      <w:r w:rsidRPr="00AD1496">
        <w:rPr>
          <w:rFonts w:asciiTheme="majorHAnsi" w:hAnsiTheme="majorHAnsi" w:cstheme="majorHAnsi"/>
        </w:rPr>
        <w:t xml:space="preserve"> greater flexibility with implementation timeframes where there are reasonable grounds for renegotiation.</w:t>
      </w:r>
    </w:p>
    <w:p w14:paraId="5D49957D" w14:textId="7453CE3B" w:rsidR="009F486B" w:rsidRPr="00AD1496" w:rsidRDefault="009F486B" w:rsidP="00FD1EB6">
      <w:pPr>
        <w:pStyle w:val="Heading4"/>
        <w:rPr>
          <w:rFonts w:asciiTheme="majorHAnsi" w:hAnsiTheme="majorHAnsi" w:cstheme="majorHAnsi"/>
        </w:rPr>
      </w:pPr>
      <w:bookmarkStart w:id="63" w:name="_f64oshw601bm" w:colFirst="0" w:colLast="0"/>
      <w:bookmarkStart w:id="64" w:name="_gczgzeal6rdb" w:colFirst="0" w:colLast="0"/>
      <w:bookmarkStart w:id="65" w:name="_iyfqem67rw59" w:colFirst="0" w:colLast="0"/>
      <w:bookmarkStart w:id="66" w:name="_Ref14094383"/>
      <w:bookmarkStart w:id="67" w:name="_Ref14100823"/>
      <w:bookmarkEnd w:id="63"/>
      <w:bookmarkEnd w:id="64"/>
      <w:bookmarkEnd w:id="65"/>
      <w:r w:rsidRPr="00AD1496">
        <w:rPr>
          <w:rFonts w:asciiTheme="majorHAnsi" w:hAnsiTheme="majorHAnsi" w:cstheme="majorHAnsi"/>
        </w:rPr>
        <w:lastRenderedPageBreak/>
        <w:t xml:space="preserve">Roles </w:t>
      </w:r>
      <w:r w:rsidR="00AC1848" w:rsidRPr="00AD1496">
        <w:rPr>
          <w:rFonts w:asciiTheme="majorHAnsi" w:hAnsiTheme="majorHAnsi" w:cstheme="majorHAnsi"/>
        </w:rPr>
        <w:t>and transparency of intergovernmental arrangements</w:t>
      </w:r>
      <w:r w:rsidRPr="00AD1496">
        <w:rPr>
          <w:rFonts w:asciiTheme="majorHAnsi" w:hAnsiTheme="majorHAnsi" w:cstheme="majorHAnsi"/>
        </w:rPr>
        <w:t xml:space="preserve"> </w:t>
      </w:r>
    </w:p>
    <w:p w14:paraId="13827F70" w14:textId="77777777" w:rsidR="000D40ED" w:rsidRPr="00AD1496" w:rsidRDefault="000D40ED" w:rsidP="000D40ED">
      <w:pPr>
        <w:rPr>
          <w:rFonts w:asciiTheme="majorHAnsi" w:hAnsiTheme="majorHAnsi" w:cstheme="majorHAnsi"/>
        </w:rPr>
      </w:pPr>
      <w:r w:rsidRPr="00AD1496">
        <w:rPr>
          <w:rFonts w:asciiTheme="majorHAnsi" w:hAnsiTheme="majorHAnsi" w:cstheme="majorHAnsi"/>
        </w:rPr>
        <w:t>Clarity is required in defining the respective roles of the Commonwealth and the States in the intergovernmental arrangements for the MDB. Further work is needed defining the respective application of the:</w:t>
      </w:r>
    </w:p>
    <w:p w14:paraId="105F98F3" w14:textId="77777777" w:rsidR="000D40ED" w:rsidRPr="00AD1496" w:rsidRDefault="000D40ED" w:rsidP="000D40ED">
      <w:pPr>
        <w:pStyle w:val="ListBullet"/>
        <w:rPr>
          <w:rFonts w:asciiTheme="majorHAnsi" w:hAnsiTheme="majorHAnsi" w:cstheme="majorHAnsi"/>
        </w:rPr>
      </w:pPr>
      <w:r w:rsidRPr="00AD1496">
        <w:rPr>
          <w:rFonts w:asciiTheme="majorHAnsi" w:hAnsiTheme="majorHAnsi" w:cstheme="majorHAnsi"/>
        </w:rPr>
        <w:t>Compliance models</w:t>
      </w:r>
    </w:p>
    <w:p w14:paraId="3E7B4AAA" w14:textId="77777777" w:rsidR="000D40ED" w:rsidRPr="00AD1496" w:rsidRDefault="000D40ED" w:rsidP="000D40ED">
      <w:pPr>
        <w:pStyle w:val="ListBullet"/>
        <w:rPr>
          <w:rFonts w:asciiTheme="majorHAnsi" w:hAnsiTheme="majorHAnsi" w:cstheme="majorHAnsi"/>
        </w:rPr>
      </w:pPr>
      <w:r w:rsidRPr="00AD1496">
        <w:rPr>
          <w:rFonts w:asciiTheme="majorHAnsi" w:hAnsiTheme="majorHAnsi" w:cstheme="majorHAnsi"/>
        </w:rPr>
        <w:t>Joint government development models</w:t>
      </w:r>
    </w:p>
    <w:p w14:paraId="1AEC31EE" w14:textId="77777777" w:rsidR="000D40ED" w:rsidRPr="00AD1496" w:rsidRDefault="000D40ED" w:rsidP="000D40ED">
      <w:pPr>
        <w:pStyle w:val="ListBullet"/>
        <w:rPr>
          <w:rFonts w:asciiTheme="majorHAnsi" w:hAnsiTheme="majorHAnsi" w:cstheme="majorHAnsi"/>
        </w:rPr>
      </w:pPr>
      <w:r w:rsidRPr="00AD1496">
        <w:rPr>
          <w:rFonts w:asciiTheme="majorHAnsi" w:hAnsiTheme="majorHAnsi" w:cstheme="majorHAnsi"/>
        </w:rPr>
        <w:t>Co-production and partnerships models</w:t>
      </w:r>
    </w:p>
    <w:p w14:paraId="72442697" w14:textId="77777777" w:rsidR="000D40ED" w:rsidRPr="00AD1496" w:rsidRDefault="000D40ED" w:rsidP="000D40ED">
      <w:pPr>
        <w:pStyle w:val="ListBullet"/>
        <w:rPr>
          <w:rFonts w:asciiTheme="majorHAnsi" w:hAnsiTheme="majorHAnsi" w:cstheme="majorHAnsi"/>
        </w:rPr>
      </w:pPr>
      <w:r w:rsidRPr="00AD1496">
        <w:rPr>
          <w:rFonts w:asciiTheme="majorHAnsi" w:hAnsiTheme="majorHAnsi" w:cstheme="majorHAnsi"/>
        </w:rPr>
        <w:t>Reform partnerships</w:t>
      </w:r>
    </w:p>
    <w:p w14:paraId="3B89525C" w14:textId="77777777" w:rsidR="000D40ED" w:rsidRPr="00AD1496" w:rsidRDefault="000D40ED" w:rsidP="000D40ED">
      <w:pPr>
        <w:pStyle w:val="ListBullet"/>
        <w:rPr>
          <w:rFonts w:asciiTheme="majorHAnsi" w:hAnsiTheme="majorHAnsi" w:cstheme="majorHAnsi"/>
        </w:rPr>
      </w:pPr>
      <w:r w:rsidRPr="00AD1496">
        <w:rPr>
          <w:rFonts w:asciiTheme="majorHAnsi" w:hAnsiTheme="majorHAnsi" w:cstheme="majorHAnsi"/>
        </w:rPr>
        <w:t>Multi stakeholder programs.</w:t>
      </w:r>
    </w:p>
    <w:p w14:paraId="1E2975A8" w14:textId="77777777" w:rsidR="000D40ED" w:rsidRPr="00AD1496" w:rsidRDefault="000D40ED" w:rsidP="000D40ED">
      <w:pPr>
        <w:pStyle w:val="ListBullet"/>
        <w:numPr>
          <w:ilvl w:val="0"/>
          <w:numId w:val="0"/>
        </w:numPr>
        <w:ind w:left="454" w:hanging="454"/>
        <w:rPr>
          <w:rFonts w:asciiTheme="majorHAnsi" w:hAnsiTheme="majorHAnsi" w:cstheme="majorHAnsi"/>
        </w:rPr>
      </w:pPr>
    </w:p>
    <w:p w14:paraId="37936687" w14:textId="64405C22" w:rsidR="000D40ED" w:rsidRPr="00AD1496" w:rsidRDefault="000D40ED" w:rsidP="000D40ED">
      <w:pPr>
        <w:rPr>
          <w:rFonts w:asciiTheme="majorHAnsi" w:hAnsiTheme="majorHAnsi" w:cstheme="majorHAnsi"/>
        </w:rPr>
      </w:pPr>
      <w:r w:rsidRPr="00AD1496">
        <w:rPr>
          <w:rFonts w:asciiTheme="majorHAnsi" w:hAnsiTheme="majorHAnsi" w:cstheme="majorHAnsi"/>
        </w:rPr>
        <w:t xml:space="preserve">A number of policy framework matters deserve serious consideration, including the nature of any institutional settings. A number of stakeholders pointed to the multiple roles of Commonwealth agencies. Given that Commonwealth agencies </w:t>
      </w:r>
      <w:r w:rsidR="00A208A4" w:rsidRPr="00AD1496">
        <w:rPr>
          <w:rFonts w:asciiTheme="majorHAnsi" w:hAnsiTheme="majorHAnsi" w:cstheme="majorHAnsi"/>
        </w:rPr>
        <w:t>are often responsible for</w:t>
      </w:r>
      <w:r w:rsidR="00A208A4" w:rsidRPr="00AD1496" w:rsidDel="00A208A4">
        <w:rPr>
          <w:rFonts w:asciiTheme="majorHAnsi" w:hAnsiTheme="majorHAnsi" w:cstheme="majorHAnsi"/>
        </w:rPr>
        <w:t xml:space="preserve"> </w:t>
      </w:r>
      <w:r w:rsidRPr="00AD1496">
        <w:rPr>
          <w:rFonts w:asciiTheme="majorHAnsi" w:hAnsiTheme="majorHAnsi" w:cstheme="majorHAnsi"/>
        </w:rPr>
        <w:t xml:space="preserve">policy development and implementation, this </w:t>
      </w:r>
      <w:r w:rsidR="00A208A4" w:rsidRPr="00AD1496">
        <w:rPr>
          <w:rFonts w:asciiTheme="majorHAnsi" w:hAnsiTheme="majorHAnsi" w:cstheme="majorHAnsi"/>
        </w:rPr>
        <w:t>can</w:t>
      </w:r>
      <w:r w:rsidRPr="00AD1496">
        <w:rPr>
          <w:rFonts w:asciiTheme="majorHAnsi" w:hAnsiTheme="majorHAnsi" w:cstheme="majorHAnsi"/>
        </w:rPr>
        <w:t xml:space="preserve"> make objective and in</w:t>
      </w:r>
      <w:r w:rsidRPr="00AD1496">
        <w:rPr>
          <w:rFonts w:asciiTheme="majorHAnsi" w:hAnsiTheme="majorHAnsi" w:cstheme="majorHAnsi"/>
        </w:rPr>
        <w:lastRenderedPageBreak/>
        <w:t>dependent assessments of the progress of individual jurisdictions or combined progress</w:t>
      </w:r>
      <w:r w:rsidR="00A208A4" w:rsidRPr="00AD1496">
        <w:rPr>
          <w:rFonts w:asciiTheme="majorHAnsi" w:hAnsiTheme="majorHAnsi" w:cstheme="majorHAnsi"/>
        </w:rPr>
        <w:t xml:space="preserve"> more difficult</w:t>
      </w:r>
      <w:r w:rsidRPr="00AD1496">
        <w:rPr>
          <w:rFonts w:asciiTheme="majorHAnsi" w:hAnsiTheme="majorHAnsi" w:cstheme="majorHAnsi"/>
        </w:rPr>
        <w:t>. This points to the need to consider the what, how and who of future assessments</w:t>
      </w:r>
      <w:r w:rsidR="00926739">
        <w:rPr>
          <w:rFonts w:asciiTheme="majorHAnsi" w:hAnsiTheme="majorHAnsi" w:cstheme="majorHAnsi"/>
        </w:rPr>
        <w:t xml:space="preserve">, given that the NPA assessments were originally carried out independently by the </w:t>
      </w:r>
      <w:r w:rsidR="008B7CA3">
        <w:rPr>
          <w:rFonts w:asciiTheme="majorHAnsi" w:hAnsiTheme="majorHAnsi" w:cstheme="majorHAnsi"/>
        </w:rPr>
        <w:t>National Water Commission</w:t>
      </w:r>
      <w:r w:rsidR="00926739">
        <w:rPr>
          <w:rFonts w:asciiTheme="majorHAnsi" w:hAnsiTheme="majorHAnsi" w:cstheme="majorHAnsi"/>
        </w:rPr>
        <w:t>, and subsequently transferred to the Department</w:t>
      </w:r>
      <w:r w:rsidRPr="00AD1496">
        <w:rPr>
          <w:rFonts w:asciiTheme="majorHAnsi" w:hAnsiTheme="majorHAnsi" w:cstheme="majorHAnsi"/>
        </w:rPr>
        <w:t>. Further consideration of ways to clarify roles and responsibilities is needed.</w:t>
      </w:r>
    </w:p>
    <w:p w14:paraId="5A3DEA7D" w14:textId="7DB9CB30" w:rsidR="00023461" w:rsidRPr="00AD1496" w:rsidRDefault="00926739" w:rsidP="00023461">
      <w:pPr>
        <w:rPr>
          <w:rFonts w:asciiTheme="majorHAnsi" w:hAnsiTheme="majorHAnsi" w:cstheme="majorHAnsi"/>
        </w:rPr>
      </w:pPr>
      <w:r>
        <w:rPr>
          <w:rFonts w:asciiTheme="majorHAnsi" w:hAnsiTheme="majorHAnsi" w:cstheme="majorHAnsi"/>
        </w:rPr>
        <w:t xml:space="preserve">An independent entity </w:t>
      </w:r>
      <w:r w:rsidR="00C3344C">
        <w:rPr>
          <w:rFonts w:asciiTheme="majorHAnsi" w:hAnsiTheme="majorHAnsi" w:cstheme="majorHAnsi"/>
        </w:rPr>
        <w:t xml:space="preserve">offers an unbiased perspective but </w:t>
      </w:r>
      <w:r>
        <w:rPr>
          <w:rFonts w:asciiTheme="majorHAnsi" w:hAnsiTheme="majorHAnsi" w:cstheme="majorHAnsi"/>
        </w:rPr>
        <w:t xml:space="preserve">may not sufficiently understand the complexity of the water reform landscape to make sound judgements on progress. Conversely, </w:t>
      </w:r>
      <w:r w:rsidR="000D40ED" w:rsidRPr="00AD1496">
        <w:rPr>
          <w:rFonts w:asciiTheme="majorHAnsi" w:hAnsiTheme="majorHAnsi" w:cstheme="majorHAnsi"/>
        </w:rPr>
        <w:t>Commonwealth agencies</w:t>
      </w:r>
      <w:r w:rsidR="00BE3434" w:rsidRPr="00AD1496">
        <w:rPr>
          <w:rFonts w:asciiTheme="majorHAnsi" w:hAnsiTheme="majorHAnsi" w:cstheme="majorHAnsi"/>
        </w:rPr>
        <w:t>’ mixed role</w:t>
      </w:r>
      <w:r w:rsidR="000D40ED" w:rsidRPr="00AD1496">
        <w:rPr>
          <w:rFonts w:asciiTheme="majorHAnsi" w:hAnsiTheme="majorHAnsi" w:cstheme="majorHAnsi"/>
        </w:rPr>
        <w:t xml:space="preserve"> in</w:t>
      </w:r>
      <w:r w:rsidR="009F486B" w:rsidRPr="00AD1496">
        <w:rPr>
          <w:rFonts w:asciiTheme="majorHAnsi" w:hAnsiTheme="majorHAnsi" w:cstheme="majorHAnsi"/>
        </w:rPr>
        <w:t xml:space="preserve"> </w:t>
      </w:r>
      <w:r w:rsidR="00BE3434" w:rsidRPr="00AD1496">
        <w:rPr>
          <w:rFonts w:asciiTheme="majorHAnsi" w:hAnsiTheme="majorHAnsi" w:cstheme="majorHAnsi"/>
        </w:rPr>
        <w:t xml:space="preserve">both </w:t>
      </w:r>
      <w:r w:rsidR="009F486B" w:rsidRPr="00AD1496">
        <w:rPr>
          <w:rFonts w:asciiTheme="majorHAnsi" w:hAnsiTheme="majorHAnsi" w:cstheme="majorHAnsi"/>
        </w:rPr>
        <w:t xml:space="preserve">policy development and implementation </w:t>
      </w:r>
      <w:r w:rsidR="000B4DD9">
        <w:rPr>
          <w:rFonts w:asciiTheme="majorHAnsi" w:hAnsiTheme="majorHAnsi" w:cstheme="majorHAnsi"/>
        </w:rPr>
        <w:t>has th</w:t>
      </w:r>
      <w:r w:rsidR="00A62B24">
        <w:rPr>
          <w:rFonts w:asciiTheme="majorHAnsi" w:hAnsiTheme="majorHAnsi" w:cstheme="majorHAnsi"/>
        </w:rPr>
        <w:t>e potential to</w:t>
      </w:r>
      <w:r w:rsidR="00A62B24" w:rsidRPr="00AD1496">
        <w:rPr>
          <w:rFonts w:asciiTheme="majorHAnsi" w:hAnsiTheme="majorHAnsi" w:cstheme="majorHAnsi"/>
        </w:rPr>
        <w:t xml:space="preserve"> </w:t>
      </w:r>
      <w:r w:rsidR="00BE3434" w:rsidRPr="00AD1496">
        <w:rPr>
          <w:rFonts w:asciiTheme="majorHAnsi" w:hAnsiTheme="majorHAnsi" w:cstheme="majorHAnsi"/>
        </w:rPr>
        <w:t>reduce the integrity of the assessment arrangements</w:t>
      </w:r>
      <w:r w:rsidR="00255CBB">
        <w:rPr>
          <w:rFonts w:asciiTheme="majorHAnsi" w:hAnsiTheme="majorHAnsi" w:cstheme="majorHAnsi"/>
        </w:rPr>
        <w:t>, particularly in a complex environment where it is difficult to have detailed milestones</w:t>
      </w:r>
      <w:r w:rsidR="00BE3434" w:rsidRPr="00AD1496">
        <w:rPr>
          <w:rFonts w:asciiTheme="majorHAnsi" w:hAnsiTheme="majorHAnsi" w:cstheme="majorHAnsi"/>
        </w:rPr>
        <w:t>.</w:t>
      </w:r>
      <w:r>
        <w:rPr>
          <w:rFonts w:asciiTheme="majorHAnsi" w:hAnsiTheme="majorHAnsi" w:cstheme="majorHAnsi"/>
        </w:rPr>
        <w:t xml:space="preserve"> Although t</w:t>
      </w:r>
      <w:r w:rsidR="00023461" w:rsidRPr="00AD1496">
        <w:rPr>
          <w:rFonts w:asciiTheme="majorHAnsi" w:hAnsiTheme="majorHAnsi" w:cstheme="majorHAnsi"/>
        </w:rPr>
        <w:t xml:space="preserve">his combination of roles does not necessarily lead to unbalanced assessment of Basin </w:t>
      </w:r>
      <w:r w:rsidR="0092270A">
        <w:rPr>
          <w:rFonts w:asciiTheme="majorHAnsi" w:hAnsiTheme="majorHAnsi" w:cstheme="majorHAnsi"/>
        </w:rPr>
        <w:t>S</w:t>
      </w:r>
      <w:r w:rsidR="00023461" w:rsidRPr="00AD1496">
        <w:rPr>
          <w:rFonts w:asciiTheme="majorHAnsi" w:hAnsiTheme="majorHAnsi" w:cstheme="majorHAnsi"/>
        </w:rPr>
        <w:t>tate progress by these agencies</w:t>
      </w:r>
      <w:r w:rsidR="007C3404" w:rsidRPr="00AD1496">
        <w:rPr>
          <w:rFonts w:asciiTheme="majorHAnsi" w:hAnsiTheme="majorHAnsi" w:cstheme="majorHAnsi"/>
        </w:rPr>
        <w:t>, c</w:t>
      </w:r>
      <w:r w:rsidR="009F486B" w:rsidRPr="00AD1496">
        <w:rPr>
          <w:rFonts w:asciiTheme="majorHAnsi" w:hAnsiTheme="majorHAnsi" w:cstheme="majorHAnsi"/>
        </w:rPr>
        <w:t xml:space="preserve">larifying the roles and responsibilities of Commonwealth agencies will ensure that future assessments have independence and </w:t>
      </w:r>
      <w:r w:rsidR="009F486B" w:rsidRPr="00AD1496">
        <w:rPr>
          <w:rFonts w:asciiTheme="majorHAnsi" w:hAnsiTheme="majorHAnsi" w:cstheme="majorHAnsi"/>
        </w:rPr>
        <w:lastRenderedPageBreak/>
        <w:t xml:space="preserve">credibility. </w:t>
      </w:r>
      <w:r w:rsidR="00BD5CB1">
        <w:rPr>
          <w:rFonts w:asciiTheme="majorHAnsi" w:hAnsiTheme="majorHAnsi" w:cstheme="majorHAnsi"/>
        </w:rPr>
        <w:t>Also, i</w:t>
      </w:r>
      <w:r w:rsidR="00023461" w:rsidRPr="00AD1496">
        <w:rPr>
          <w:rFonts w:asciiTheme="majorHAnsi" w:hAnsiTheme="majorHAnsi" w:cstheme="majorHAnsi"/>
        </w:rPr>
        <w:t xml:space="preserve">t should be noted that </w:t>
      </w:r>
      <w:r w:rsidR="00B27280">
        <w:rPr>
          <w:rFonts w:asciiTheme="majorHAnsi" w:hAnsiTheme="majorHAnsi" w:cstheme="majorHAnsi"/>
        </w:rPr>
        <w:t>it is standard</w:t>
      </w:r>
      <w:r w:rsidR="00023461" w:rsidRPr="00AD1496">
        <w:rPr>
          <w:rFonts w:asciiTheme="majorHAnsi" w:hAnsiTheme="majorHAnsi" w:cstheme="majorHAnsi"/>
        </w:rPr>
        <w:t xml:space="preserve"> practice </w:t>
      </w:r>
      <w:r w:rsidR="00B27280">
        <w:rPr>
          <w:rFonts w:asciiTheme="majorHAnsi" w:hAnsiTheme="majorHAnsi" w:cstheme="majorHAnsi"/>
        </w:rPr>
        <w:t>for</w:t>
      </w:r>
      <w:r w:rsidR="00023461" w:rsidRPr="00AD1496">
        <w:rPr>
          <w:rFonts w:asciiTheme="majorHAnsi" w:hAnsiTheme="majorHAnsi" w:cstheme="majorHAnsi"/>
        </w:rPr>
        <w:t xml:space="preserve"> Commonwealth agencies</w:t>
      </w:r>
      <w:r w:rsidR="00B27280">
        <w:rPr>
          <w:rFonts w:asciiTheme="majorHAnsi" w:hAnsiTheme="majorHAnsi" w:cstheme="majorHAnsi"/>
        </w:rPr>
        <w:t xml:space="preserve"> to</w:t>
      </w:r>
      <w:r w:rsidR="00023461" w:rsidRPr="00AD1496">
        <w:rPr>
          <w:rFonts w:asciiTheme="majorHAnsi" w:hAnsiTheme="majorHAnsi" w:cstheme="majorHAnsi"/>
        </w:rPr>
        <w:t xml:space="preserve"> </w:t>
      </w:r>
      <w:r w:rsidR="00B27280">
        <w:rPr>
          <w:rFonts w:asciiTheme="majorHAnsi" w:hAnsiTheme="majorHAnsi" w:cstheme="majorHAnsi"/>
        </w:rPr>
        <w:t xml:space="preserve">have </w:t>
      </w:r>
      <w:r w:rsidR="00023461" w:rsidRPr="00AD1496">
        <w:rPr>
          <w:rFonts w:asciiTheme="majorHAnsi" w:hAnsiTheme="majorHAnsi" w:cstheme="majorHAnsi"/>
        </w:rPr>
        <w:t>probity process</w:t>
      </w:r>
      <w:r w:rsidR="00B27280">
        <w:rPr>
          <w:rFonts w:asciiTheme="majorHAnsi" w:hAnsiTheme="majorHAnsi" w:cstheme="majorHAnsi"/>
        </w:rPr>
        <w:t>es in place</w:t>
      </w:r>
      <w:r w:rsidR="00023461" w:rsidRPr="00AD1496">
        <w:rPr>
          <w:rFonts w:asciiTheme="majorHAnsi" w:hAnsiTheme="majorHAnsi" w:cstheme="majorHAnsi"/>
        </w:rPr>
        <w:t xml:space="preserve"> to manage possible or perceived conflicts of interest.</w:t>
      </w:r>
      <w:r>
        <w:rPr>
          <w:rFonts w:asciiTheme="majorHAnsi" w:hAnsiTheme="majorHAnsi" w:cstheme="majorHAnsi"/>
        </w:rPr>
        <w:t xml:space="preserve"> </w:t>
      </w:r>
      <w:r w:rsidR="00BD5CB1">
        <w:rPr>
          <w:rFonts w:asciiTheme="majorHAnsi" w:hAnsiTheme="majorHAnsi" w:cstheme="majorHAnsi"/>
        </w:rPr>
        <w:t>A</w:t>
      </w:r>
      <w:r w:rsidR="00BD5CB1" w:rsidRPr="00AD1496">
        <w:rPr>
          <w:rFonts w:asciiTheme="majorHAnsi" w:hAnsiTheme="majorHAnsi" w:cstheme="majorHAnsi"/>
        </w:rPr>
        <w:t xml:space="preserve">ssessment </w:t>
      </w:r>
      <w:r w:rsidR="00BD5CB1">
        <w:rPr>
          <w:rFonts w:asciiTheme="majorHAnsi" w:hAnsiTheme="majorHAnsi" w:cstheme="majorHAnsi"/>
        </w:rPr>
        <w:t>by a Commonwealth agency such as the department</w:t>
      </w:r>
      <w:r w:rsidR="00BD5CB1" w:rsidRPr="00AD1496">
        <w:rPr>
          <w:rFonts w:asciiTheme="majorHAnsi" w:hAnsiTheme="majorHAnsi" w:cstheme="majorHAnsi"/>
        </w:rPr>
        <w:t xml:space="preserve"> </w:t>
      </w:r>
      <w:r w:rsidR="00BD5CB1">
        <w:rPr>
          <w:rFonts w:asciiTheme="majorHAnsi" w:hAnsiTheme="majorHAnsi" w:cstheme="majorHAnsi"/>
        </w:rPr>
        <w:t>may be</w:t>
      </w:r>
      <w:r w:rsidR="00BD5CB1" w:rsidRPr="00AD1496">
        <w:rPr>
          <w:rFonts w:asciiTheme="majorHAnsi" w:hAnsiTheme="majorHAnsi" w:cstheme="majorHAnsi"/>
        </w:rPr>
        <w:t xml:space="preserve"> </w:t>
      </w:r>
      <w:r w:rsidR="00BD5CB1">
        <w:rPr>
          <w:rFonts w:asciiTheme="majorHAnsi" w:hAnsiTheme="majorHAnsi" w:cstheme="majorHAnsi"/>
        </w:rPr>
        <w:t xml:space="preserve">appropriate </w:t>
      </w:r>
      <w:r w:rsidR="000D6131">
        <w:rPr>
          <w:rFonts w:asciiTheme="majorHAnsi" w:hAnsiTheme="majorHAnsi" w:cstheme="majorHAnsi"/>
        </w:rPr>
        <w:t>with</w:t>
      </w:r>
      <w:r w:rsidR="00BD5CB1">
        <w:rPr>
          <w:rFonts w:asciiTheme="majorHAnsi" w:hAnsiTheme="majorHAnsi" w:cstheme="majorHAnsi"/>
        </w:rPr>
        <w:t xml:space="preserve"> adoption of the cle</w:t>
      </w:r>
      <w:r w:rsidR="000D6131">
        <w:rPr>
          <w:rFonts w:asciiTheme="majorHAnsi" w:hAnsiTheme="majorHAnsi" w:cstheme="majorHAnsi"/>
        </w:rPr>
        <w:t>ar, well-defined milestones</w:t>
      </w:r>
      <w:r w:rsidR="00BD5CB1">
        <w:rPr>
          <w:rFonts w:asciiTheme="majorHAnsi" w:hAnsiTheme="majorHAnsi" w:cstheme="majorHAnsi"/>
        </w:rPr>
        <w:t xml:space="preserve"> and other recommendations of this review. This model </w:t>
      </w:r>
      <w:r w:rsidR="0092270A">
        <w:rPr>
          <w:rFonts w:asciiTheme="majorHAnsi" w:hAnsiTheme="majorHAnsi" w:cstheme="majorHAnsi"/>
        </w:rPr>
        <w:t>should</w:t>
      </w:r>
      <w:r w:rsidR="00BD5CB1">
        <w:rPr>
          <w:rFonts w:asciiTheme="majorHAnsi" w:hAnsiTheme="majorHAnsi" w:cstheme="majorHAnsi"/>
        </w:rPr>
        <w:t xml:space="preserve"> ensure </w:t>
      </w:r>
      <w:r w:rsidR="00BD5CB1" w:rsidRPr="00AD1496">
        <w:rPr>
          <w:rFonts w:asciiTheme="majorHAnsi" w:hAnsiTheme="majorHAnsi" w:cstheme="majorHAnsi"/>
        </w:rPr>
        <w:t>both third-party scrutiny and expert judgement is included in the assessment.</w:t>
      </w:r>
    </w:p>
    <w:p w14:paraId="100B133B" w14:textId="36810F33" w:rsidR="00362223" w:rsidRPr="00AD1496" w:rsidRDefault="001A0704" w:rsidP="009F486B">
      <w:pPr>
        <w:rPr>
          <w:rFonts w:asciiTheme="majorHAnsi" w:hAnsiTheme="majorHAnsi" w:cstheme="majorHAnsi"/>
          <w:color w:val="FF0000"/>
        </w:rPr>
      </w:pPr>
      <w:r>
        <w:rPr>
          <w:rFonts w:asciiTheme="majorHAnsi" w:hAnsiTheme="majorHAnsi" w:cstheme="majorHAnsi"/>
        </w:rPr>
        <w:t>If assessment is carried out by an independent entity such as</w:t>
      </w:r>
      <w:r w:rsidR="00BE3434" w:rsidRPr="00AD1496">
        <w:rPr>
          <w:rFonts w:asciiTheme="majorHAnsi" w:hAnsiTheme="majorHAnsi" w:cstheme="majorHAnsi"/>
        </w:rPr>
        <w:t xml:space="preserve"> </w:t>
      </w:r>
      <w:r w:rsidR="00E30663">
        <w:rPr>
          <w:rFonts w:asciiTheme="majorHAnsi" w:hAnsiTheme="majorHAnsi" w:cstheme="majorHAnsi"/>
        </w:rPr>
        <w:t xml:space="preserve">the </w:t>
      </w:r>
      <w:r>
        <w:rPr>
          <w:rFonts w:asciiTheme="majorHAnsi" w:hAnsiTheme="majorHAnsi" w:cstheme="majorHAnsi"/>
        </w:rPr>
        <w:t>Productivity Commission (with potentially reduced</w:t>
      </w:r>
      <w:r w:rsidR="00BE3434" w:rsidRPr="00AD1496">
        <w:rPr>
          <w:rFonts w:asciiTheme="majorHAnsi" w:hAnsiTheme="majorHAnsi" w:cstheme="majorHAnsi"/>
        </w:rPr>
        <w:t xml:space="preserve"> technical knowledge of the sector</w:t>
      </w:r>
      <w:r>
        <w:rPr>
          <w:rFonts w:asciiTheme="majorHAnsi" w:hAnsiTheme="majorHAnsi" w:cstheme="majorHAnsi"/>
        </w:rPr>
        <w:t>)</w:t>
      </w:r>
      <w:r w:rsidR="00BE3434" w:rsidRPr="00AD1496">
        <w:rPr>
          <w:rFonts w:asciiTheme="majorHAnsi" w:hAnsiTheme="majorHAnsi" w:cstheme="majorHAnsi"/>
        </w:rPr>
        <w:t xml:space="preserve">, </w:t>
      </w:r>
      <w:r w:rsidR="009F486B" w:rsidRPr="00AD1496">
        <w:rPr>
          <w:rFonts w:asciiTheme="majorHAnsi" w:hAnsiTheme="majorHAnsi" w:cstheme="majorHAnsi"/>
        </w:rPr>
        <w:t xml:space="preserve">assessments </w:t>
      </w:r>
      <w:r w:rsidR="008B7CA3">
        <w:rPr>
          <w:rFonts w:asciiTheme="majorHAnsi" w:hAnsiTheme="majorHAnsi" w:cstheme="majorHAnsi"/>
        </w:rPr>
        <w:t>should continue to</w:t>
      </w:r>
      <w:r w:rsidR="0042023E" w:rsidRPr="00AD1496">
        <w:rPr>
          <w:rFonts w:asciiTheme="majorHAnsi" w:hAnsiTheme="majorHAnsi" w:cstheme="majorHAnsi"/>
        </w:rPr>
        <w:t xml:space="preserve"> integrate</w:t>
      </w:r>
      <w:r w:rsidR="009F486B" w:rsidRPr="00AD1496">
        <w:rPr>
          <w:rFonts w:asciiTheme="majorHAnsi" w:hAnsiTheme="majorHAnsi" w:cstheme="majorHAnsi"/>
        </w:rPr>
        <w:t xml:space="preserve"> advice from other agencies</w:t>
      </w:r>
      <w:r w:rsidR="00BE3434" w:rsidRPr="00AD1496">
        <w:rPr>
          <w:rFonts w:asciiTheme="majorHAnsi" w:hAnsiTheme="majorHAnsi" w:cstheme="majorHAnsi"/>
        </w:rPr>
        <w:t xml:space="preserve"> </w:t>
      </w:r>
      <w:r>
        <w:rPr>
          <w:rFonts w:asciiTheme="majorHAnsi" w:hAnsiTheme="majorHAnsi" w:cstheme="majorHAnsi"/>
        </w:rPr>
        <w:t>to</w:t>
      </w:r>
      <w:r w:rsidRPr="00AD1496">
        <w:rPr>
          <w:rFonts w:asciiTheme="majorHAnsi" w:hAnsiTheme="majorHAnsi" w:cstheme="majorHAnsi"/>
        </w:rPr>
        <w:t xml:space="preserve"> </w:t>
      </w:r>
      <w:r w:rsidR="0042023E" w:rsidRPr="00AD1496">
        <w:rPr>
          <w:rFonts w:asciiTheme="majorHAnsi" w:hAnsiTheme="majorHAnsi" w:cstheme="majorHAnsi"/>
        </w:rPr>
        <w:t>maximise</w:t>
      </w:r>
      <w:r>
        <w:rPr>
          <w:rFonts w:asciiTheme="majorHAnsi" w:hAnsiTheme="majorHAnsi" w:cstheme="majorHAnsi"/>
        </w:rPr>
        <w:t xml:space="preserve"> the</w:t>
      </w:r>
      <w:r w:rsidR="0042023E" w:rsidRPr="00AD1496">
        <w:rPr>
          <w:rFonts w:asciiTheme="majorHAnsi" w:hAnsiTheme="majorHAnsi" w:cstheme="majorHAnsi"/>
        </w:rPr>
        <w:t xml:space="preserve"> independence and credibility of the assessment arrangements.</w:t>
      </w:r>
    </w:p>
    <w:p w14:paraId="2DC45AB8" w14:textId="600408EA" w:rsidR="00AC1848" w:rsidRPr="00AD1496" w:rsidRDefault="00F52083" w:rsidP="00AC1848">
      <w:pPr>
        <w:rPr>
          <w:rFonts w:asciiTheme="majorHAnsi" w:hAnsiTheme="majorHAnsi" w:cstheme="majorHAnsi"/>
        </w:rPr>
      </w:pPr>
      <w:r w:rsidRPr="00AD1496">
        <w:rPr>
          <w:rFonts w:asciiTheme="majorHAnsi" w:hAnsiTheme="majorHAnsi" w:cstheme="majorHAnsi"/>
        </w:rPr>
        <w:t xml:space="preserve">In the 2018-19 reporting period, the Department gave Basin States the opportunity to review MDBA and CEWO comments on annual SOAs prior to completing Basin States’ annual reports. This practice created more transparency in the assessment process and allowed the Basin </w:t>
      </w:r>
      <w:r w:rsidRPr="00AD1496">
        <w:rPr>
          <w:rFonts w:asciiTheme="majorHAnsi" w:hAnsiTheme="majorHAnsi" w:cstheme="majorHAnsi"/>
        </w:rPr>
        <w:lastRenderedPageBreak/>
        <w:t>States to provide any necessary clarification</w:t>
      </w:r>
      <w:r w:rsidR="000D6131">
        <w:rPr>
          <w:rFonts w:asciiTheme="majorHAnsi" w:hAnsiTheme="majorHAnsi" w:cstheme="majorHAnsi"/>
        </w:rPr>
        <w:t xml:space="preserve">. </w:t>
      </w:r>
      <w:bookmarkStart w:id="68" w:name="_kfpcecol7vzq" w:colFirst="0" w:colLast="0"/>
      <w:bookmarkEnd w:id="68"/>
      <w:r w:rsidR="00AC1848" w:rsidRPr="00AD1496">
        <w:rPr>
          <w:rFonts w:asciiTheme="majorHAnsi" w:hAnsiTheme="majorHAnsi" w:cstheme="majorHAnsi"/>
        </w:rPr>
        <w:t>Th</w:t>
      </w:r>
      <w:r w:rsidR="000D6131">
        <w:rPr>
          <w:rFonts w:asciiTheme="majorHAnsi" w:hAnsiTheme="majorHAnsi" w:cstheme="majorHAnsi"/>
        </w:rPr>
        <w:t>is</w:t>
      </w:r>
      <w:r w:rsidR="00AC1848" w:rsidRPr="00AD1496">
        <w:rPr>
          <w:rFonts w:asciiTheme="majorHAnsi" w:hAnsiTheme="majorHAnsi" w:cstheme="majorHAnsi"/>
        </w:rPr>
        <w:t xml:space="preserve"> review identified a strong reliance on written reports between the parties as the basis of performance. More open and transparent progress reporting that involves exposure of findings would be useful.</w:t>
      </w:r>
      <w:r w:rsidR="00FD166E" w:rsidRPr="00AD1496">
        <w:rPr>
          <w:rFonts w:asciiTheme="majorHAnsi" w:hAnsiTheme="majorHAnsi" w:cstheme="majorHAnsi"/>
        </w:rPr>
        <w:t xml:space="preserve"> </w:t>
      </w:r>
      <w:r w:rsidR="00AC1848" w:rsidRPr="00AD1496">
        <w:rPr>
          <w:rFonts w:asciiTheme="majorHAnsi" w:hAnsiTheme="majorHAnsi" w:cstheme="majorHAnsi"/>
        </w:rPr>
        <w:t>Given the substantial role of the media in catalysing progress during the current NPA, providing the public with information about progress could encourage performance by Basin States. Other options for more independent, open and transparent progress reporting include:</w:t>
      </w:r>
    </w:p>
    <w:p w14:paraId="60D91B4F" w14:textId="36540F75" w:rsidR="00AC1848" w:rsidRPr="00AD1496" w:rsidRDefault="00AC1848" w:rsidP="008D175D">
      <w:pPr>
        <w:numPr>
          <w:ilvl w:val="0"/>
          <w:numId w:val="19"/>
        </w:numPr>
        <w:spacing w:after="0" w:line="240" w:lineRule="auto"/>
        <w:rPr>
          <w:rFonts w:asciiTheme="majorHAnsi" w:hAnsiTheme="majorHAnsi" w:cstheme="majorHAnsi"/>
          <w:color w:val="000000"/>
        </w:rPr>
      </w:pPr>
      <w:r w:rsidRPr="00AD1496">
        <w:rPr>
          <w:rFonts w:asciiTheme="majorHAnsi" w:hAnsiTheme="majorHAnsi" w:cstheme="majorHAnsi"/>
        </w:rPr>
        <w:t xml:space="preserve">Consultation with First Nations groups as a component of </w:t>
      </w:r>
      <w:r w:rsidR="00642C52">
        <w:rPr>
          <w:rFonts w:asciiTheme="majorHAnsi" w:hAnsiTheme="majorHAnsi" w:cstheme="majorHAnsi"/>
        </w:rPr>
        <w:t xml:space="preserve">policy decisions, </w:t>
      </w:r>
      <w:r w:rsidRPr="00AD1496">
        <w:rPr>
          <w:rFonts w:asciiTheme="majorHAnsi" w:hAnsiTheme="majorHAnsi" w:cstheme="majorHAnsi"/>
        </w:rPr>
        <w:t>milestone</w:t>
      </w:r>
      <w:r w:rsidR="00387AD0" w:rsidRPr="00AD1496">
        <w:rPr>
          <w:rFonts w:asciiTheme="majorHAnsi" w:hAnsiTheme="majorHAnsi" w:cstheme="majorHAnsi"/>
        </w:rPr>
        <w:t xml:space="preserve"> or broader</w:t>
      </w:r>
      <w:r w:rsidRPr="00AD1496">
        <w:rPr>
          <w:rFonts w:asciiTheme="majorHAnsi" w:hAnsiTheme="majorHAnsi" w:cstheme="majorHAnsi"/>
        </w:rPr>
        <w:t xml:space="preserve"> success criteria</w:t>
      </w:r>
      <w:r w:rsidR="00387AD0" w:rsidRPr="00AD1496">
        <w:rPr>
          <w:rFonts w:asciiTheme="majorHAnsi" w:hAnsiTheme="majorHAnsi" w:cstheme="majorHAnsi"/>
        </w:rPr>
        <w:t xml:space="preserve"> in the basin reform architecture</w:t>
      </w:r>
      <w:r w:rsidR="00642C52">
        <w:rPr>
          <w:rFonts w:asciiTheme="majorHAnsi" w:hAnsiTheme="majorHAnsi" w:cstheme="majorHAnsi"/>
        </w:rPr>
        <w:t>. For example, consultation with First Nations people in WRP development has been beneficial.</w:t>
      </w:r>
    </w:p>
    <w:p w14:paraId="03F99712" w14:textId="77777777" w:rsidR="00AC1848" w:rsidRPr="00AD1496" w:rsidRDefault="00AC1848" w:rsidP="008D175D">
      <w:pPr>
        <w:numPr>
          <w:ilvl w:val="0"/>
          <w:numId w:val="19"/>
        </w:numPr>
        <w:spacing w:after="0" w:line="240" w:lineRule="auto"/>
        <w:rPr>
          <w:rFonts w:asciiTheme="majorHAnsi" w:hAnsiTheme="majorHAnsi" w:cstheme="majorHAnsi"/>
          <w:color w:val="000000"/>
        </w:rPr>
      </w:pPr>
      <w:r w:rsidRPr="00AD1496">
        <w:rPr>
          <w:rFonts w:asciiTheme="majorHAnsi" w:hAnsiTheme="majorHAnsi" w:cstheme="majorHAnsi"/>
        </w:rPr>
        <w:t>Consultation with stakeholders and communities to understand satisfaction as a milestone</w:t>
      </w:r>
    </w:p>
    <w:p w14:paraId="19253A33" w14:textId="327A7DC5" w:rsidR="00AC1848" w:rsidRPr="00AD1496" w:rsidRDefault="00AC1848" w:rsidP="008D175D">
      <w:pPr>
        <w:numPr>
          <w:ilvl w:val="0"/>
          <w:numId w:val="19"/>
        </w:numPr>
        <w:spacing w:after="0" w:line="240" w:lineRule="auto"/>
        <w:rPr>
          <w:rFonts w:asciiTheme="majorHAnsi" w:hAnsiTheme="majorHAnsi" w:cstheme="majorHAnsi"/>
          <w:color w:val="000000"/>
        </w:rPr>
      </w:pPr>
      <w:r w:rsidRPr="00AD1496">
        <w:rPr>
          <w:rFonts w:asciiTheme="majorHAnsi" w:hAnsiTheme="majorHAnsi" w:cstheme="majorHAnsi"/>
        </w:rPr>
        <w:t>Using independent auditors (as per the MDB salinity and cap audits) that receive jurisdictional progress reports and have open hearings.</w:t>
      </w:r>
    </w:p>
    <w:p w14:paraId="3259AF70" w14:textId="77777777" w:rsidR="00706477" w:rsidRPr="00AD1496" w:rsidRDefault="009F486B" w:rsidP="00706477">
      <w:pPr>
        <w:pStyle w:val="aaaRechead"/>
        <w:rPr>
          <w:rFonts w:asciiTheme="majorHAnsi" w:hAnsiTheme="majorHAnsi" w:cstheme="majorHAnsi"/>
        </w:rPr>
      </w:pPr>
      <w:r w:rsidRPr="00AD1496">
        <w:rPr>
          <w:rFonts w:asciiTheme="majorHAnsi" w:hAnsiTheme="majorHAnsi" w:cstheme="majorHAnsi"/>
        </w:rPr>
        <w:lastRenderedPageBreak/>
        <w:t>Recommendation 5</w:t>
      </w:r>
    </w:p>
    <w:p w14:paraId="6240C93F" w14:textId="3D136372" w:rsidR="009F486B" w:rsidRPr="00AD1496" w:rsidRDefault="009F486B" w:rsidP="00F920C5">
      <w:pPr>
        <w:pStyle w:val="aaRec"/>
        <w:rPr>
          <w:rFonts w:asciiTheme="majorHAnsi" w:hAnsiTheme="majorHAnsi" w:cstheme="majorHAnsi"/>
        </w:rPr>
      </w:pPr>
      <w:r w:rsidRPr="00AD1496">
        <w:rPr>
          <w:rFonts w:asciiTheme="majorHAnsi" w:hAnsiTheme="majorHAnsi" w:cstheme="majorHAnsi"/>
        </w:rPr>
        <w:t xml:space="preserve">Consider </w:t>
      </w:r>
      <w:r w:rsidR="005226D4">
        <w:rPr>
          <w:rFonts w:asciiTheme="majorHAnsi" w:hAnsiTheme="majorHAnsi" w:cstheme="majorHAnsi"/>
        </w:rPr>
        <w:t xml:space="preserve">which </w:t>
      </w:r>
      <w:r w:rsidR="001A0704">
        <w:rPr>
          <w:rFonts w:asciiTheme="majorHAnsi" w:hAnsiTheme="majorHAnsi" w:cstheme="majorHAnsi"/>
        </w:rPr>
        <w:t xml:space="preserve">entity </w:t>
      </w:r>
      <w:r w:rsidR="005226D4">
        <w:rPr>
          <w:rFonts w:asciiTheme="majorHAnsi" w:hAnsiTheme="majorHAnsi" w:cstheme="majorHAnsi"/>
        </w:rPr>
        <w:t xml:space="preserve">is best placed </w:t>
      </w:r>
      <w:r w:rsidR="008860B2">
        <w:rPr>
          <w:rFonts w:asciiTheme="majorHAnsi" w:hAnsiTheme="majorHAnsi" w:cstheme="majorHAnsi"/>
        </w:rPr>
        <w:t xml:space="preserve">to undertake </w:t>
      </w:r>
      <w:r w:rsidR="007A7FE9">
        <w:rPr>
          <w:rFonts w:asciiTheme="majorHAnsi" w:hAnsiTheme="majorHAnsi" w:cstheme="majorHAnsi"/>
        </w:rPr>
        <w:t xml:space="preserve">the </w:t>
      </w:r>
      <w:r w:rsidRPr="00AD1496">
        <w:rPr>
          <w:rFonts w:asciiTheme="majorHAnsi" w:hAnsiTheme="majorHAnsi" w:cstheme="majorHAnsi"/>
        </w:rPr>
        <w:t xml:space="preserve">assessment arrangements of </w:t>
      </w:r>
      <w:r w:rsidR="00CC5E36" w:rsidRPr="00AD1496">
        <w:rPr>
          <w:rFonts w:asciiTheme="majorHAnsi" w:hAnsiTheme="majorHAnsi" w:cstheme="majorHAnsi"/>
        </w:rPr>
        <w:t xml:space="preserve">any </w:t>
      </w:r>
      <w:r w:rsidRPr="00AD1496">
        <w:rPr>
          <w:rFonts w:asciiTheme="majorHAnsi" w:hAnsiTheme="majorHAnsi" w:cstheme="majorHAnsi"/>
        </w:rPr>
        <w:t>future</w:t>
      </w:r>
      <w:r w:rsidR="00CC5E36" w:rsidRPr="00AD1496">
        <w:rPr>
          <w:rFonts w:asciiTheme="majorHAnsi" w:hAnsiTheme="majorHAnsi" w:cstheme="majorHAnsi"/>
        </w:rPr>
        <w:t>, similar</w:t>
      </w:r>
      <w:r w:rsidRPr="00AD1496">
        <w:rPr>
          <w:rFonts w:asciiTheme="majorHAnsi" w:hAnsiTheme="majorHAnsi" w:cstheme="majorHAnsi"/>
        </w:rPr>
        <w:t xml:space="preserve"> NPA</w:t>
      </w:r>
      <w:r w:rsidR="00CC5E36" w:rsidRPr="00AD1496">
        <w:rPr>
          <w:rFonts w:asciiTheme="majorHAnsi" w:hAnsiTheme="majorHAnsi" w:cstheme="majorHAnsi"/>
        </w:rPr>
        <w:t>s</w:t>
      </w:r>
      <w:r w:rsidR="00AC1848" w:rsidRPr="00AD1496">
        <w:rPr>
          <w:rFonts w:asciiTheme="majorHAnsi" w:hAnsiTheme="majorHAnsi" w:cstheme="majorHAnsi"/>
        </w:rPr>
        <w:t>, and how details of progress against milestones can be as open and transparent as possible.</w:t>
      </w:r>
      <w:r w:rsidR="00387AD0" w:rsidRPr="00AD1496">
        <w:rPr>
          <w:rFonts w:asciiTheme="majorHAnsi" w:hAnsiTheme="majorHAnsi" w:cstheme="majorHAnsi"/>
        </w:rPr>
        <w:t xml:space="preserve"> Consider how</w:t>
      </w:r>
      <w:r w:rsidR="00AC1848" w:rsidRPr="00AD1496">
        <w:rPr>
          <w:rFonts w:asciiTheme="majorHAnsi" w:hAnsiTheme="majorHAnsi" w:cstheme="majorHAnsi"/>
        </w:rPr>
        <w:t xml:space="preserve"> </w:t>
      </w:r>
      <w:r w:rsidR="00387AD0" w:rsidRPr="00AD1496">
        <w:rPr>
          <w:rFonts w:asciiTheme="majorHAnsi" w:hAnsiTheme="majorHAnsi" w:cstheme="majorHAnsi"/>
        </w:rPr>
        <w:t>First Nations groups and local communities can be engaged in a broad assessment of progress in water forms, or engaged following the assessment process.</w:t>
      </w:r>
      <w:r w:rsidR="00AC1848" w:rsidRPr="00AD1496">
        <w:rPr>
          <w:rFonts w:asciiTheme="majorHAnsi" w:hAnsiTheme="majorHAnsi" w:cstheme="majorHAnsi"/>
        </w:rPr>
        <w:t xml:space="preserve"> </w:t>
      </w:r>
    </w:p>
    <w:p w14:paraId="0680A105" w14:textId="2C858FD4" w:rsidR="00B83878" w:rsidRPr="00AD1496" w:rsidRDefault="00B83878" w:rsidP="00B83878">
      <w:pPr>
        <w:pStyle w:val="Heading4"/>
        <w:rPr>
          <w:rFonts w:asciiTheme="majorHAnsi" w:hAnsiTheme="majorHAnsi" w:cstheme="majorHAnsi"/>
        </w:rPr>
      </w:pPr>
      <w:bookmarkStart w:id="69" w:name="_zbuaqe7o12fe" w:colFirst="0" w:colLast="0"/>
      <w:bookmarkStart w:id="70" w:name="_xpqb2clv6ck1" w:colFirst="0" w:colLast="0"/>
      <w:bookmarkStart w:id="71" w:name="_iiui5vxrb0ec" w:colFirst="0" w:colLast="0"/>
      <w:bookmarkStart w:id="72" w:name="_Hlk32499998"/>
      <w:bookmarkEnd w:id="69"/>
      <w:bookmarkEnd w:id="70"/>
      <w:bookmarkEnd w:id="71"/>
      <w:r w:rsidRPr="00AD1496">
        <w:rPr>
          <w:rFonts w:asciiTheme="majorHAnsi" w:hAnsiTheme="majorHAnsi" w:cstheme="majorHAnsi"/>
        </w:rPr>
        <w:t xml:space="preserve">Use of </w:t>
      </w:r>
      <w:r>
        <w:rPr>
          <w:rFonts w:asciiTheme="majorHAnsi" w:hAnsiTheme="majorHAnsi" w:cstheme="majorHAnsi"/>
        </w:rPr>
        <w:t xml:space="preserve">effective </w:t>
      </w:r>
      <w:r w:rsidRPr="00AD1496">
        <w:rPr>
          <w:rFonts w:asciiTheme="majorHAnsi" w:hAnsiTheme="majorHAnsi" w:cstheme="majorHAnsi"/>
        </w:rPr>
        <w:t>payment</w:t>
      </w:r>
      <w:r>
        <w:rPr>
          <w:rFonts w:asciiTheme="majorHAnsi" w:hAnsiTheme="majorHAnsi" w:cstheme="majorHAnsi"/>
        </w:rPr>
        <w:t xml:space="preserve"> </w:t>
      </w:r>
      <w:r w:rsidRPr="00AD1496">
        <w:rPr>
          <w:rFonts w:asciiTheme="majorHAnsi" w:hAnsiTheme="majorHAnsi" w:cstheme="majorHAnsi"/>
        </w:rPr>
        <w:t>s</w:t>
      </w:r>
      <w:r>
        <w:rPr>
          <w:rFonts w:asciiTheme="majorHAnsi" w:hAnsiTheme="majorHAnsi" w:cstheme="majorHAnsi"/>
        </w:rPr>
        <w:t>tructures</w:t>
      </w:r>
    </w:p>
    <w:p w14:paraId="0FAE0307" w14:textId="77777777" w:rsidR="00B83878" w:rsidRDefault="00B83878" w:rsidP="00B83878">
      <w:pPr>
        <w:rPr>
          <w:rFonts w:asciiTheme="majorHAnsi" w:hAnsiTheme="majorHAnsi" w:cstheme="majorHAnsi"/>
        </w:rPr>
      </w:pPr>
      <w:r>
        <w:rPr>
          <w:rFonts w:asciiTheme="majorHAnsi" w:hAnsiTheme="majorHAnsi" w:cstheme="majorHAnsi"/>
        </w:rPr>
        <w:t xml:space="preserve">A different </w:t>
      </w:r>
      <w:r w:rsidRPr="00AD1496">
        <w:rPr>
          <w:rFonts w:asciiTheme="majorHAnsi" w:hAnsiTheme="majorHAnsi" w:cstheme="majorHAnsi"/>
        </w:rPr>
        <w:t xml:space="preserve">payment structure should be considered for any future, similar NPAs. While the ‘all or nothing’ payment structure </w:t>
      </w:r>
      <w:r>
        <w:rPr>
          <w:rFonts w:asciiTheme="majorHAnsi" w:hAnsiTheme="majorHAnsi" w:cstheme="majorHAnsi"/>
        </w:rPr>
        <w:t>made</w:t>
      </w:r>
      <w:r w:rsidRPr="00AD1496">
        <w:rPr>
          <w:rFonts w:asciiTheme="majorHAnsi" w:hAnsiTheme="majorHAnsi" w:cstheme="majorHAnsi"/>
        </w:rPr>
        <w:t xml:space="preserve"> it difficult for States to avoid delivering some milestones, this design does not appear to have been successful in ensuring that the reforms were well implemented. This puts the Department and Minister in a difficult situation in assessing whether sufficient work has been done to, on balance, make a payment. </w:t>
      </w:r>
    </w:p>
    <w:p w14:paraId="21B6DE97" w14:textId="77777777" w:rsidR="00B83878" w:rsidRPr="00AD1496" w:rsidRDefault="00B83878" w:rsidP="00B83878">
      <w:pPr>
        <w:rPr>
          <w:rFonts w:asciiTheme="majorHAnsi" w:hAnsiTheme="majorHAnsi" w:cstheme="majorHAnsi"/>
        </w:rPr>
      </w:pPr>
      <w:r>
        <w:rPr>
          <w:rFonts w:asciiTheme="majorHAnsi" w:hAnsiTheme="majorHAnsi" w:cstheme="majorHAnsi"/>
        </w:rPr>
        <w:lastRenderedPageBreak/>
        <w:t>An option to resolve this challenge is to sequence milestones, marking early milestones as prerequisite for the achievement, and payment for, later milestones. This would reduce the likelihood that States only deliver components of their choosing. Including criteria for partial and complete achievement in milestones would also allow for graduated payments to be made based on progress.</w:t>
      </w:r>
    </w:p>
    <w:p w14:paraId="7F85FF6C" w14:textId="77777777" w:rsidR="00B83878" w:rsidRDefault="00B83878" w:rsidP="00B83878">
      <w:pPr>
        <w:rPr>
          <w:rFonts w:asciiTheme="majorHAnsi" w:hAnsiTheme="majorHAnsi" w:cstheme="majorHAnsi"/>
        </w:rPr>
      </w:pPr>
      <w:r w:rsidRPr="00AD1496">
        <w:rPr>
          <w:rFonts w:asciiTheme="majorHAnsi" w:hAnsiTheme="majorHAnsi" w:cstheme="majorHAnsi"/>
        </w:rPr>
        <w:t xml:space="preserve">The current NPA is based on defining extra costs and overlaying targets on these. A number of stakeholders pointed to the model of national competition payments </w:t>
      </w:r>
      <w:r>
        <w:rPr>
          <w:rFonts w:asciiTheme="majorHAnsi" w:hAnsiTheme="majorHAnsi" w:cstheme="majorHAnsi"/>
        </w:rPr>
        <w:t xml:space="preserve">which were made under the National Competition Policy arrangements </w:t>
      </w:r>
      <w:r w:rsidRPr="00AD1496">
        <w:rPr>
          <w:rFonts w:asciiTheme="majorHAnsi" w:hAnsiTheme="majorHAnsi" w:cstheme="majorHAnsi"/>
        </w:rPr>
        <w:t xml:space="preserve">and </w:t>
      </w:r>
      <w:r>
        <w:rPr>
          <w:rFonts w:asciiTheme="majorHAnsi" w:hAnsiTheme="majorHAnsi" w:cstheme="majorHAnsi"/>
        </w:rPr>
        <w:t>utilised incentive payments for the achievement of clearly established targets</w:t>
      </w:r>
      <w:r w:rsidRPr="00AD1496">
        <w:rPr>
          <w:rFonts w:asciiTheme="majorHAnsi" w:hAnsiTheme="majorHAnsi" w:cstheme="majorHAnsi"/>
        </w:rPr>
        <w:t>. Th</w:t>
      </w:r>
      <w:r>
        <w:rPr>
          <w:rFonts w:asciiTheme="majorHAnsi" w:hAnsiTheme="majorHAnsi" w:cstheme="majorHAnsi"/>
        </w:rPr>
        <w:t xml:space="preserve">is model </w:t>
      </w:r>
      <w:r w:rsidRPr="00AD1496">
        <w:rPr>
          <w:rFonts w:asciiTheme="majorHAnsi" w:hAnsiTheme="majorHAnsi" w:cstheme="majorHAnsi"/>
        </w:rPr>
        <w:t>rel</w:t>
      </w:r>
      <w:r>
        <w:rPr>
          <w:rFonts w:asciiTheme="majorHAnsi" w:hAnsiTheme="majorHAnsi" w:cstheme="majorHAnsi"/>
        </w:rPr>
        <w:t>ies</w:t>
      </w:r>
      <w:r w:rsidRPr="00AD1496">
        <w:rPr>
          <w:rFonts w:asciiTheme="majorHAnsi" w:hAnsiTheme="majorHAnsi" w:cstheme="majorHAnsi"/>
        </w:rPr>
        <w:t xml:space="preserve"> on a strong independent assessor </w:t>
      </w:r>
      <w:r>
        <w:rPr>
          <w:rFonts w:asciiTheme="majorHAnsi" w:hAnsiTheme="majorHAnsi" w:cstheme="majorHAnsi"/>
        </w:rPr>
        <w:t xml:space="preserve">that is </w:t>
      </w:r>
      <w:r w:rsidRPr="00AD1496">
        <w:rPr>
          <w:rFonts w:asciiTheme="majorHAnsi" w:hAnsiTheme="majorHAnsi" w:cstheme="majorHAnsi"/>
        </w:rPr>
        <w:t>respect</w:t>
      </w:r>
      <w:r>
        <w:rPr>
          <w:rFonts w:asciiTheme="majorHAnsi" w:hAnsiTheme="majorHAnsi" w:cstheme="majorHAnsi"/>
        </w:rPr>
        <w:t>ed</w:t>
      </w:r>
      <w:r w:rsidRPr="00AD1496">
        <w:rPr>
          <w:rFonts w:asciiTheme="majorHAnsi" w:hAnsiTheme="majorHAnsi" w:cstheme="majorHAnsi"/>
        </w:rPr>
        <w:t xml:space="preserve"> for their judgement </w:t>
      </w:r>
      <w:r>
        <w:rPr>
          <w:rFonts w:asciiTheme="majorHAnsi" w:hAnsiTheme="majorHAnsi" w:cstheme="majorHAnsi"/>
        </w:rPr>
        <w:t xml:space="preserve">in making recommendations for </w:t>
      </w:r>
      <w:r w:rsidRPr="00AD1496">
        <w:rPr>
          <w:rFonts w:asciiTheme="majorHAnsi" w:hAnsiTheme="majorHAnsi" w:cstheme="majorHAnsi"/>
        </w:rPr>
        <w:t xml:space="preserve">payments. </w:t>
      </w:r>
    </w:p>
    <w:p w14:paraId="52A4D7C1" w14:textId="77777777" w:rsidR="00B83878" w:rsidRPr="00AD1496" w:rsidRDefault="00B83878" w:rsidP="00B83878">
      <w:pPr>
        <w:rPr>
          <w:rFonts w:asciiTheme="majorHAnsi" w:hAnsiTheme="majorHAnsi" w:cstheme="majorHAnsi"/>
          <w:color w:val="FF0000"/>
        </w:rPr>
      </w:pPr>
      <w:r>
        <w:rPr>
          <w:rFonts w:asciiTheme="majorHAnsi" w:hAnsiTheme="majorHAnsi" w:cstheme="majorHAnsi"/>
        </w:rPr>
        <w:t>While</w:t>
      </w:r>
      <w:r w:rsidRPr="00AD1496">
        <w:rPr>
          <w:rFonts w:asciiTheme="majorHAnsi" w:hAnsiTheme="majorHAnsi" w:cstheme="majorHAnsi"/>
        </w:rPr>
        <w:t xml:space="preserve"> </w:t>
      </w:r>
      <w:r>
        <w:rPr>
          <w:rFonts w:asciiTheme="majorHAnsi" w:hAnsiTheme="majorHAnsi" w:cstheme="majorHAnsi"/>
        </w:rPr>
        <w:t>incentive</w:t>
      </w:r>
      <w:r w:rsidRPr="00AD1496">
        <w:rPr>
          <w:rFonts w:asciiTheme="majorHAnsi" w:hAnsiTheme="majorHAnsi" w:cstheme="majorHAnsi"/>
        </w:rPr>
        <w:t xml:space="preserve"> payments </w:t>
      </w:r>
      <w:r>
        <w:rPr>
          <w:rFonts w:asciiTheme="majorHAnsi" w:hAnsiTheme="majorHAnsi" w:cstheme="majorHAnsi"/>
        </w:rPr>
        <w:t>act as rewards for the delivery of outcomes or continuous performance improvement</w:t>
      </w:r>
      <w:r w:rsidRPr="00AD1496">
        <w:rPr>
          <w:rFonts w:asciiTheme="majorHAnsi" w:hAnsiTheme="majorHAnsi" w:cstheme="majorHAnsi"/>
        </w:rPr>
        <w:t xml:space="preserve">, </w:t>
      </w:r>
      <w:r>
        <w:rPr>
          <w:rFonts w:asciiTheme="majorHAnsi" w:hAnsiTheme="majorHAnsi" w:cstheme="majorHAnsi"/>
        </w:rPr>
        <w:t>stakeholders noted they</w:t>
      </w:r>
      <w:r w:rsidRPr="00AD1496">
        <w:rPr>
          <w:rFonts w:asciiTheme="majorHAnsi" w:hAnsiTheme="majorHAnsi" w:cstheme="majorHAnsi"/>
        </w:rPr>
        <w:t xml:space="preserve"> can be hard to judge and control</w:t>
      </w:r>
      <w:r>
        <w:rPr>
          <w:rFonts w:asciiTheme="majorHAnsi" w:hAnsiTheme="majorHAnsi" w:cstheme="majorHAnsi"/>
        </w:rPr>
        <w:t xml:space="preserve">, and impose an additional reporting and assessment burden. </w:t>
      </w:r>
      <w:r w:rsidRPr="00AD1496">
        <w:rPr>
          <w:rFonts w:asciiTheme="majorHAnsi" w:hAnsiTheme="majorHAnsi" w:cstheme="majorHAnsi"/>
        </w:rPr>
        <w:lastRenderedPageBreak/>
        <w:t xml:space="preserve">Any future, similar NPAs must ensure that payments are </w:t>
      </w:r>
      <w:r>
        <w:rPr>
          <w:rFonts w:asciiTheme="majorHAnsi" w:hAnsiTheme="majorHAnsi" w:cstheme="majorHAnsi"/>
        </w:rPr>
        <w:t xml:space="preserve">only </w:t>
      </w:r>
      <w:r w:rsidRPr="00AD1496">
        <w:rPr>
          <w:rFonts w:asciiTheme="majorHAnsi" w:hAnsiTheme="majorHAnsi" w:cstheme="majorHAnsi"/>
        </w:rPr>
        <w:t xml:space="preserve">made for </w:t>
      </w:r>
      <w:r>
        <w:rPr>
          <w:rFonts w:asciiTheme="majorHAnsi" w:hAnsiTheme="majorHAnsi" w:cstheme="majorHAnsi"/>
        </w:rPr>
        <w:t xml:space="preserve">actual </w:t>
      </w:r>
      <w:r w:rsidRPr="00AD1496">
        <w:rPr>
          <w:rFonts w:asciiTheme="majorHAnsi" w:hAnsiTheme="majorHAnsi" w:cstheme="majorHAnsi"/>
        </w:rPr>
        <w:t xml:space="preserve">outcomes, with </w:t>
      </w:r>
      <w:r>
        <w:rPr>
          <w:rFonts w:asciiTheme="majorHAnsi" w:hAnsiTheme="majorHAnsi" w:cstheme="majorHAnsi"/>
        </w:rPr>
        <w:t xml:space="preserve">incentive payments </w:t>
      </w:r>
      <w:r w:rsidRPr="00AD1496">
        <w:rPr>
          <w:rFonts w:asciiTheme="majorHAnsi" w:hAnsiTheme="majorHAnsi" w:cstheme="majorHAnsi"/>
        </w:rPr>
        <w:t xml:space="preserve">for timely </w:t>
      </w:r>
      <w:r>
        <w:rPr>
          <w:rFonts w:asciiTheme="majorHAnsi" w:hAnsiTheme="majorHAnsi" w:cstheme="majorHAnsi"/>
        </w:rPr>
        <w:t>delivery against the agreed milestones, or in instances where States exceed expectations. For example, early delivery of WRPs could be linked to an incentive payment</w:t>
      </w:r>
      <w:r w:rsidRPr="00AD1496">
        <w:rPr>
          <w:rFonts w:asciiTheme="majorHAnsi" w:hAnsiTheme="majorHAnsi" w:cstheme="majorHAnsi"/>
        </w:rPr>
        <w:t>.</w:t>
      </w:r>
    </w:p>
    <w:p w14:paraId="18F5FB54" w14:textId="77777777" w:rsidR="00B83878" w:rsidRPr="00F15EDF" w:rsidRDefault="00B83878" w:rsidP="00B83878">
      <w:pPr>
        <w:pStyle w:val="aaRec"/>
        <w:rPr>
          <w:rFonts w:asciiTheme="majorHAnsi" w:hAnsiTheme="majorHAnsi" w:cstheme="majorHAnsi"/>
          <w:b/>
          <w:bCs/>
          <w:color w:val="08193E" w:themeColor="text1"/>
        </w:rPr>
      </w:pPr>
      <w:bookmarkStart w:id="73" w:name="_q9jjj5z3p19m" w:colFirst="0" w:colLast="0"/>
      <w:bookmarkStart w:id="74" w:name="_18z6j2fgxe2q" w:colFirst="0" w:colLast="0"/>
      <w:bookmarkStart w:id="75" w:name="_jd1dpf93qvda" w:colFirst="0" w:colLast="0"/>
      <w:bookmarkStart w:id="76" w:name="_guq73aiib1vv" w:colFirst="0" w:colLast="0"/>
      <w:bookmarkEnd w:id="73"/>
      <w:bookmarkEnd w:id="74"/>
      <w:bookmarkEnd w:id="75"/>
      <w:bookmarkEnd w:id="76"/>
      <w:r w:rsidRPr="00F15EDF">
        <w:rPr>
          <w:rFonts w:asciiTheme="majorHAnsi" w:hAnsiTheme="majorHAnsi" w:cstheme="majorHAnsi"/>
          <w:b/>
          <w:bCs/>
          <w:color w:val="08193E" w:themeColor="text1"/>
        </w:rPr>
        <w:t xml:space="preserve">Recommendation </w:t>
      </w:r>
      <w:r>
        <w:rPr>
          <w:rFonts w:asciiTheme="majorHAnsi" w:hAnsiTheme="majorHAnsi" w:cstheme="majorHAnsi"/>
          <w:b/>
          <w:bCs/>
          <w:color w:val="08193E" w:themeColor="text1"/>
        </w:rPr>
        <w:t>6</w:t>
      </w:r>
    </w:p>
    <w:p w14:paraId="2FB794CB" w14:textId="77777777" w:rsidR="00B83878" w:rsidRPr="00AD1496" w:rsidRDefault="00B83878" w:rsidP="00B83878">
      <w:pPr>
        <w:pStyle w:val="aaRec"/>
        <w:rPr>
          <w:rFonts w:asciiTheme="majorHAnsi" w:hAnsiTheme="majorHAnsi" w:cstheme="majorHAnsi"/>
        </w:rPr>
      </w:pPr>
      <w:r w:rsidRPr="009C5639">
        <w:rPr>
          <w:rFonts w:asciiTheme="majorHAnsi" w:hAnsiTheme="majorHAnsi" w:cstheme="majorHAnsi"/>
        </w:rPr>
        <w:t>Design a set of detailed milestones that encourage the achievement of outcomes using a combination of project, facilitation and incentive payments, making graduated payments based on achievement of milestones. Utilise sequencing so that early milestones act as prerequisites for the payment of later milestones and reward States for exceeding expectations with incentive payments.</w:t>
      </w:r>
    </w:p>
    <w:bookmarkEnd w:id="72"/>
    <w:p w14:paraId="413CB96F" w14:textId="77777777" w:rsidR="009F486B" w:rsidRPr="00AD1496" w:rsidRDefault="009F486B" w:rsidP="00FD1EB6">
      <w:pPr>
        <w:pStyle w:val="Heading4"/>
        <w:rPr>
          <w:rFonts w:asciiTheme="majorHAnsi" w:hAnsiTheme="majorHAnsi" w:cstheme="majorHAnsi"/>
        </w:rPr>
      </w:pPr>
      <w:r w:rsidRPr="00AD1496">
        <w:rPr>
          <w:rFonts w:asciiTheme="majorHAnsi" w:hAnsiTheme="majorHAnsi" w:cstheme="majorHAnsi"/>
        </w:rPr>
        <w:lastRenderedPageBreak/>
        <w:t>Professional capacity for working in complex policy roles</w:t>
      </w:r>
    </w:p>
    <w:p w14:paraId="51A2B535" w14:textId="1C2D5160" w:rsidR="009F486B" w:rsidRPr="00AD1496" w:rsidRDefault="009F486B" w:rsidP="009F486B">
      <w:pPr>
        <w:rPr>
          <w:rFonts w:asciiTheme="majorHAnsi" w:hAnsiTheme="majorHAnsi" w:cstheme="majorHAnsi"/>
        </w:rPr>
      </w:pPr>
      <w:r w:rsidRPr="00AD1496">
        <w:rPr>
          <w:rFonts w:asciiTheme="majorHAnsi" w:hAnsiTheme="majorHAnsi" w:cstheme="majorHAnsi"/>
        </w:rPr>
        <w:t>Many stakeholders identified that the number of separate instruments and their linkages remained difficult to negotiate and confusing. However, this is the nature of water reform in a complex trans</w:t>
      </w:r>
      <w:r w:rsidR="00CC5E36" w:rsidRPr="00AD1496">
        <w:rPr>
          <w:rFonts w:asciiTheme="majorHAnsi" w:hAnsiTheme="majorHAnsi" w:cstheme="majorHAnsi"/>
        </w:rPr>
        <w:t>-</w:t>
      </w:r>
      <w:r w:rsidRPr="00AD1496">
        <w:rPr>
          <w:rFonts w:asciiTheme="majorHAnsi" w:hAnsiTheme="majorHAnsi" w:cstheme="majorHAnsi"/>
        </w:rPr>
        <w:t>boundary river system within a federated system of government. Working with overlapping and interlinked instruments is important and agency staff involved should receive specific training focused on understanding the bigger picture of the reforms and how their sections fit into the whole.</w:t>
      </w:r>
    </w:p>
    <w:p w14:paraId="60C55592" w14:textId="4FA05881" w:rsidR="00FD1EB6" w:rsidRPr="00AD1496" w:rsidRDefault="009F486B" w:rsidP="00FD1EB6">
      <w:pPr>
        <w:pStyle w:val="aaaRechead"/>
        <w:rPr>
          <w:rFonts w:asciiTheme="majorHAnsi" w:hAnsiTheme="majorHAnsi" w:cstheme="majorHAnsi"/>
        </w:rPr>
      </w:pPr>
      <w:bookmarkStart w:id="77" w:name="_7cdrp890jd6f" w:colFirst="0" w:colLast="0"/>
      <w:bookmarkEnd w:id="77"/>
      <w:r w:rsidRPr="00AD1496">
        <w:rPr>
          <w:rFonts w:asciiTheme="majorHAnsi" w:hAnsiTheme="majorHAnsi" w:cstheme="majorHAnsi"/>
        </w:rPr>
        <w:t xml:space="preserve">Recommendation </w:t>
      </w:r>
      <w:r w:rsidR="00D94300">
        <w:rPr>
          <w:rFonts w:asciiTheme="majorHAnsi" w:hAnsiTheme="majorHAnsi" w:cstheme="majorHAnsi"/>
        </w:rPr>
        <w:t>7</w:t>
      </w:r>
    </w:p>
    <w:p w14:paraId="6A0EA2F2" w14:textId="7154E440" w:rsidR="009F486B" w:rsidRPr="00AD1496" w:rsidRDefault="009F486B" w:rsidP="00FD1EB6">
      <w:pPr>
        <w:pStyle w:val="aaRec"/>
        <w:rPr>
          <w:rFonts w:asciiTheme="majorHAnsi" w:hAnsiTheme="majorHAnsi" w:cstheme="majorHAnsi"/>
        </w:rPr>
      </w:pPr>
      <w:r w:rsidRPr="00AD1496">
        <w:rPr>
          <w:rFonts w:asciiTheme="majorHAnsi" w:hAnsiTheme="majorHAnsi" w:cstheme="majorHAnsi"/>
        </w:rPr>
        <w:t>Agency staff working within a system of overlapping and interlinked policy instruments should receive specific training focused on understanding the bigger picture of the reforms and how their sections fit into the whole.</w:t>
      </w:r>
    </w:p>
    <w:p w14:paraId="4E8DFEF2" w14:textId="77777777" w:rsidR="009F486B" w:rsidRPr="00AD1496" w:rsidRDefault="009F486B" w:rsidP="00FD1EB6">
      <w:pPr>
        <w:pStyle w:val="Heading4"/>
        <w:rPr>
          <w:rFonts w:asciiTheme="majorHAnsi" w:hAnsiTheme="majorHAnsi" w:cstheme="majorHAnsi"/>
        </w:rPr>
      </w:pPr>
      <w:bookmarkStart w:id="78" w:name="_ca44r99upy7l" w:colFirst="0" w:colLast="0"/>
      <w:bookmarkEnd w:id="78"/>
      <w:r w:rsidRPr="00AD1496">
        <w:rPr>
          <w:rFonts w:asciiTheme="majorHAnsi" w:hAnsiTheme="majorHAnsi" w:cstheme="majorHAnsi"/>
        </w:rPr>
        <w:lastRenderedPageBreak/>
        <w:t>Better practice guidance on partnerships</w:t>
      </w:r>
    </w:p>
    <w:p w14:paraId="387A6C5F" w14:textId="5766E055" w:rsidR="009F486B" w:rsidRPr="00AD1496" w:rsidRDefault="009F486B" w:rsidP="009F486B">
      <w:pPr>
        <w:rPr>
          <w:rFonts w:asciiTheme="majorHAnsi" w:hAnsiTheme="majorHAnsi" w:cstheme="majorHAnsi"/>
        </w:rPr>
      </w:pPr>
      <w:r w:rsidRPr="00AD1496">
        <w:rPr>
          <w:rFonts w:asciiTheme="majorHAnsi" w:hAnsiTheme="majorHAnsi" w:cstheme="majorHAnsi"/>
        </w:rPr>
        <w:t xml:space="preserve">The framework for the Commonwealth's financial relations with the States and Territories is detailed in the </w:t>
      </w:r>
      <w:r w:rsidR="002737CC" w:rsidRPr="00AD1496">
        <w:rPr>
          <w:rFonts w:asciiTheme="majorHAnsi" w:hAnsiTheme="majorHAnsi" w:cstheme="majorHAnsi"/>
          <w:iCs/>
        </w:rPr>
        <w:t>IGAFFR</w:t>
      </w:r>
      <w:r w:rsidRPr="00AD1496">
        <w:rPr>
          <w:rFonts w:asciiTheme="majorHAnsi" w:hAnsiTheme="majorHAnsi" w:cstheme="majorHAnsi"/>
        </w:rPr>
        <w:t xml:space="preserve"> and supporting guidelines. Any future NPA would benefit from adopting and adhering to the principles, standards and guidance provided for partnership agreements. These provide for different kinds of payments enabling flexibility.</w:t>
      </w:r>
    </w:p>
    <w:p w14:paraId="0C135CDC" w14:textId="4CA04102" w:rsidR="00FD1EB6" w:rsidRPr="00AD1496" w:rsidRDefault="009F486B" w:rsidP="00FD1EB6">
      <w:pPr>
        <w:pStyle w:val="aaaRechead"/>
        <w:rPr>
          <w:rFonts w:asciiTheme="majorHAnsi" w:hAnsiTheme="majorHAnsi" w:cstheme="majorHAnsi"/>
        </w:rPr>
      </w:pPr>
      <w:bookmarkStart w:id="79" w:name="_mslf1xle7ls4" w:colFirst="0" w:colLast="0"/>
      <w:bookmarkStart w:id="80" w:name="_noneie49wpfr" w:colFirst="0" w:colLast="0"/>
      <w:bookmarkStart w:id="81" w:name="_hfaa094sjl0r" w:colFirst="0" w:colLast="0"/>
      <w:bookmarkEnd w:id="79"/>
      <w:bookmarkEnd w:id="80"/>
      <w:bookmarkEnd w:id="81"/>
      <w:r w:rsidRPr="00AD1496">
        <w:rPr>
          <w:rFonts w:asciiTheme="majorHAnsi" w:hAnsiTheme="majorHAnsi" w:cstheme="majorHAnsi"/>
        </w:rPr>
        <w:t xml:space="preserve">Recommendation </w:t>
      </w:r>
      <w:r w:rsidR="00D94300">
        <w:rPr>
          <w:rFonts w:asciiTheme="majorHAnsi" w:hAnsiTheme="majorHAnsi" w:cstheme="majorHAnsi"/>
        </w:rPr>
        <w:t>8</w:t>
      </w:r>
    </w:p>
    <w:p w14:paraId="08A1935D" w14:textId="63060D33" w:rsidR="00613B72" w:rsidRPr="00AD1496" w:rsidRDefault="009F486B" w:rsidP="00C77BBA">
      <w:pPr>
        <w:pStyle w:val="aaRec"/>
        <w:rPr>
          <w:rFonts w:asciiTheme="majorHAnsi" w:hAnsiTheme="majorHAnsi" w:cstheme="majorHAnsi"/>
        </w:rPr>
      </w:pPr>
      <w:r w:rsidRPr="00AD1496">
        <w:rPr>
          <w:rFonts w:asciiTheme="majorHAnsi" w:hAnsiTheme="majorHAnsi" w:cstheme="majorHAnsi"/>
        </w:rPr>
        <w:t>A</w:t>
      </w:r>
      <w:r w:rsidR="00CC5E36" w:rsidRPr="00AD1496">
        <w:rPr>
          <w:rFonts w:asciiTheme="majorHAnsi" w:hAnsiTheme="majorHAnsi" w:cstheme="majorHAnsi"/>
        </w:rPr>
        <w:t>ny</w:t>
      </w:r>
      <w:r w:rsidRPr="00AD1496">
        <w:rPr>
          <w:rFonts w:asciiTheme="majorHAnsi" w:hAnsiTheme="majorHAnsi" w:cstheme="majorHAnsi"/>
        </w:rPr>
        <w:t xml:space="preserve"> future NPA</w:t>
      </w:r>
      <w:r w:rsidR="00CC5E36" w:rsidRPr="00AD1496">
        <w:rPr>
          <w:rFonts w:asciiTheme="majorHAnsi" w:hAnsiTheme="majorHAnsi" w:cstheme="majorHAnsi"/>
        </w:rPr>
        <w:t>s</w:t>
      </w:r>
      <w:r w:rsidRPr="00AD1496">
        <w:rPr>
          <w:rFonts w:asciiTheme="majorHAnsi" w:hAnsiTheme="majorHAnsi" w:cstheme="majorHAnsi"/>
        </w:rPr>
        <w:t xml:space="preserve"> should be consistent with the COAG principles for intergovernmental agreements if it has a limited time frame (E23); has benefits that extend beyond a single boundary (E21) and has reward payments subject to independent assessments of performance (</w:t>
      </w:r>
      <w:r w:rsidR="007477FE" w:rsidRPr="00AD1496">
        <w:rPr>
          <w:rFonts w:asciiTheme="majorHAnsi" w:hAnsiTheme="majorHAnsi" w:cstheme="majorHAnsi"/>
        </w:rPr>
        <w:t xml:space="preserve">preferably </w:t>
      </w:r>
      <w:r w:rsidRPr="00AD1496">
        <w:rPr>
          <w:rFonts w:asciiTheme="majorHAnsi" w:hAnsiTheme="majorHAnsi" w:cstheme="majorHAnsi"/>
        </w:rPr>
        <w:t>undertaken by</w:t>
      </w:r>
      <w:r w:rsidR="007477FE" w:rsidRPr="00AD1496">
        <w:rPr>
          <w:rFonts w:asciiTheme="majorHAnsi" w:hAnsiTheme="majorHAnsi" w:cstheme="majorHAnsi"/>
        </w:rPr>
        <w:t xml:space="preserve"> an entity such as</w:t>
      </w:r>
      <w:r w:rsidRPr="00AD1496">
        <w:rPr>
          <w:rFonts w:asciiTheme="majorHAnsi" w:hAnsiTheme="majorHAnsi" w:cstheme="majorHAnsi"/>
        </w:rPr>
        <w:t xml:space="preserve"> the </w:t>
      </w:r>
      <w:r w:rsidR="0042023E" w:rsidRPr="00AD1496">
        <w:rPr>
          <w:rFonts w:asciiTheme="majorHAnsi" w:hAnsiTheme="majorHAnsi" w:cstheme="majorHAnsi"/>
        </w:rPr>
        <w:t>PC</w:t>
      </w:r>
      <w:r w:rsidRPr="00AD1496">
        <w:rPr>
          <w:rFonts w:asciiTheme="majorHAnsi" w:hAnsiTheme="majorHAnsi" w:cstheme="majorHAnsi"/>
        </w:rPr>
        <w:t xml:space="preserve">). It would also require well defined roles and responsibilities, clear specification of objectives, measurable outcomes and outputs, and the adoption and disclosure of performance indicators in ways which enhance public accountability. </w:t>
      </w:r>
      <w:bookmarkStart w:id="82" w:name="_ncdrhtx8lnp3" w:colFirst="0" w:colLast="0"/>
      <w:bookmarkEnd w:id="82"/>
    </w:p>
    <w:p w14:paraId="654325B2" w14:textId="77777777" w:rsidR="009F486B" w:rsidRPr="00AD1496" w:rsidRDefault="009F486B" w:rsidP="009F486B">
      <w:pPr>
        <w:spacing w:after="0" w:line="240" w:lineRule="auto"/>
        <w:rPr>
          <w:rFonts w:asciiTheme="majorHAnsi" w:hAnsiTheme="majorHAnsi" w:cstheme="majorHAnsi"/>
        </w:rPr>
        <w:sectPr w:rsidR="009F486B" w:rsidRPr="00AD1496" w:rsidSect="0062334C">
          <w:headerReference w:type="default" r:id="rId31"/>
          <w:pgSz w:w="11906" w:h="16838" w:code="9"/>
          <w:pgMar w:top="1418" w:right="1418" w:bottom="1418" w:left="1418" w:header="567" w:footer="567" w:gutter="0"/>
          <w:cols w:space="708"/>
          <w:docGrid w:linePitch="360"/>
        </w:sectPr>
      </w:pPr>
    </w:p>
    <w:p w14:paraId="313A0B4E" w14:textId="77777777" w:rsidR="00266A91" w:rsidRPr="00AD1496" w:rsidRDefault="00FD5652" w:rsidP="00424A04">
      <w:pPr>
        <w:pStyle w:val="Appendix"/>
        <w:spacing w:after="120"/>
        <w:rPr>
          <w:rFonts w:asciiTheme="majorHAnsi" w:hAnsiTheme="majorHAnsi" w:cstheme="majorHAnsi"/>
        </w:rPr>
      </w:pPr>
      <w:bookmarkStart w:id="83" w:name="_Ref18508813"/>
      <w:bookmarkStart w:id="84" w:name="_Toc33700623"/>
      <w:bookmarkEnd w:id="12"/>
      <w:bookmarkEnd w:id="66"/>
      <w:bookmarkEnd w:id="67"/>
      <w:r w:rsidRPr="00AD1496">
        <w:rPr>
          <w:rFonts w:asciiTheme="majorHAnsi" w:hAnsiTheme="majorHAnsi" w:cstheme="majorHAnsi"/>
        </w:rPr>
        <w:lastRenderedPageBreak/>
        <w:t>NPA logic</w:t>
      </w:r>
      <w:bookmarkEnd w:id="83"/>
      <w:bookmarkEnd w:id="84"/>
    </w:p>
    <w:p w14:paraId="4B904783" w14:textId="77D8B65C" w:rsidR="00A45E92" w:rsidRPr="00AD1496" w:rsidRDefault="00A45E92">
      <w:pPr>
        <w:spacing w:after="0" w:line="240" w:lineRule="auto"/>
        <w:rPr>
          <w:rFonts w:asciiTheme="majorHAnsi" w:hAnsiTheme="majorHAnsi" w:cstheme="majorHAnsi"/>
        </w:rPr>
      </w:pPr>
      <w:r w:rsidRPr="00AD1496">
        <w:rPr>
          <w:rFonts w:asciiTheme="majorHAnsi" w:hAnsiTheme="majorHAnsi" w:cstheme="majorHAnsi"/>
          <w:noProof/>
          <w:lang w:eastAsia="en-AU"/>
        </w:rPr>
        <w:drawing>
          <wp:inline distT="0" distB="0" distL="0" distR="0" wp14:anchorId="3242C1A7" wp14:editId="2977E6A9">
            <wp:extent cx="8833363" cy="512904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87" cy="5158269"/>
                    </a:xfrm>
                    <a:prstGeom prst="rect">
                      <a:avLst/>
                    </a:prstGeom>
                    <a:noFill/>
                    <a:ln>
                      <a:noFill/>
                    </a:ln>
                  </pic:spPr>
                </pic:pic>
              </a:graphicData>
            </a:graphic>
          </wp:inline>
        </w:drawing>
      </w:r>
    </w:p>
    <w:p w14:paraId="791453D6" w14:textId="77777777" w:rsidR="00A45E92" w:rsidRPr="00AD1496" w:rsidRDefault="00A45E92">
      <w:pPr>
        <w:spacing w:after="0" w:line="240" w:lineRule="auto"/>
        <w:rPr>
          <w:rFonts w:asciiTheme="majorHAnsi" w:hAnsiTheme="majorHAnsi" w:cstheme="majorHAnsi"/>
        </w:rPr>
        <w:sectPr w:rsidR="00A45E92" w:rsidRPr="00AD1496" w:rsidSect="00613B72">
          <w:pgSz w:w="16838" w:h="11906" w:orient="landscape" w:code="9"/>
          <w:pgMar w:top="1418" w:right="1418" w:bottom="1418" w:left="1418" w:header="567" w:footer="567" w:gutter="0"/>
          <w:cols w:space="708"/>
          <w:docGrid w:linePitch="360"/>
        </w:sectPr>
      </w:pPr>
    </w:p>
    <w:p w14:paraId="1BE1447C" w14:textId="77777777" w:rsidR="00C33880" w:rsidRPr="00AD1496" w:rsidRDefault="00C33880" w:rsidP="007A065E">
      <w:pPr>
        <w:pStyle w:val="Appendix"/>
        <w:rPr>
          <w:rFonts w:asciiTheme="majorHAnsi" w:hAnsiTheme="majorHAnsi" w:cstheme="majorHAnsi"/>
        </w:rPr>
      </w:pPr>
      <w:bookmarkStart w:id="85" w:name="_Ref14083868"/>
      <w:bookmarkStart w:id="86" w:name="_Ref18592675"/>
      <w:bookmarkStart w:id="87" w:name="_Toc33700624"/>
      <w:bookmarkStart w:id="88" w:name="_Ref14080374"/>
      <w:r w:rsidRPr="00AD1496">
        <w:rPr>
          <w:rFonts w:asciiTheme="majorHAnsi" w:hAnsiTheme="majorHAnsi" w:cstheme="majorHAnsi"/>
        </w:rPr>
        <w:lastRenderedPageBreak/>
        <w:t>Assessment against IGAFFR principles</w:t>
      </w:r>
      <w:bookmarkEnd w:id="85"/>
      <w:bookmarkEnd w:id="86"/>
      <w:bookmarkEnd w:id="87"/>
    </w:p>
    <w:tbl>
      <w:tblPr>
        <w:tblW w:w="0" w:type="auto"/>
        <w:tblLook w:val="04A0" w:firstRow="1" w:lastRow="0" w:firstColumn="1" w:lastColumn="0" w:noHBand="0" w:noVBand="1"/>
      </w:tblPr>
      <w:tblGrid>
        <w:gridCol w:w="537"/>
        <w:gridCol w:w="4283"/>
        <w:gridCol w:w="1276"/>
        <w:gridCol w:w="2356"/>
        <w:gridCol w:w="5550"/>
      </w:tblGrid>
      <w:tr w:rsidR="00D572D7" w:rsidRPr="00AD1496" w14:paraId="4D507C01" w14:textId="77777777" w:rsidTr="00402F27">
        <w:trPr>
          <w:trHeight w:val="360"/>
        </w:trPr>
        <w:tc>
          <w:tcPr>
            <w:tcW w:w="4820" w:type="dxa"/>
            <w:gridSpan w:val="2"/>
            <w:tcBorders>
              <w:top w:val="nil"/>
              <w:left w:val="nil"/>
              <w:bottom w:val="single" w:sz="4" w:space="0" w:color="auto"/>
              <w:right w:val="nil"/>
            </w:tcBorders>
            <w:shd w:val="clear" w:color="000000" w:fill="08193E"/>
            <w:noWrap/>
            <w:vAlign w:val="center"/>
            <w:hideMark/>
          </w:tcPr>
          <w:p w14:paraId="2C0D19BF" w14:textId="77777777" w:rsidR="00D572D7" w:rsidRPr="00AD1496" w:rsidRDefault="00D572D7" w:rsidP="0025532A">
            <w:pPr>
              <w:spacing w:after="0" w:line="240" w:lineRule="auto"/>
              <w:rPr>
                <w:rFonts w:asciiTheme="majorHAnsi" w:eastAsia="Times New Roman" w:hAnsiTheme="majorHAnsi" w:cstheme="majorHAnsi"/>
                <w:b/>
                <w:bCs/>
                <w:lang w:eastAsia="en-AU"/>
              </w:rPr>
            </w:pPr>
            <w:r w:rsidRPr="00AD1496">
              <w:rPr>
                <w:rFonts w:asciiTheme="majorHAnsi" w:eastAsia="Times New Roman" w:hAnsiTheme="majorHAnsi" w:cstheme="majorHAnsi"/>
                <w:b/>
                <w:bCs/>
                <w:lang w:eastAsia="en-AU"/>
              </w:rPr>
              <w:t>Relevant IGAFFR principle</w:t>
            </w:r>
          </w:p>
        </w:tc>
        <w:tc>
          <w:tcPr>
            <w:tcW w:w="1276" w:type="dxa"/>
            <w:tcBorders>
              <w:top w:val="nil"/>
              <w:left w:val="nil"/>
              <w:bottom w:val="single" w:sz="4" w:space="0" w:color="auto"/>
              <w:right w:val="nil"/>
            </w:tcBorders>
            <w:shd w:val="clear" w:color="000000" w:fill="08193E"/>
            <w:noWrap/>
            <w:vAlign w:val="center"/>
            <w:hideMark/>
          </w:tcPr>
          <w:p w14:paraId="0DA17FEB" w14:textId="77777777" w:rsidR="00D572D7" w:rsidRPr="00AD1496" w:rsidRDefault="00D572D7" w:rsidP="0025532A">
            <w:pPr>
              <w:spacing w:after="0" w:line="240" w:lineRule="auto"/>
              <w:rPr>
                <w:rFonts w:asciiTheme="majorHAnsi" w:eastAsia="Times New Roman" w:hAnsiTheme="majorHAnsi" w:cstheme="majorHAnsi"/>
                <w:b/>
                <w:bCs/>
                <w:lang w:eastAsia="en-AU"/>
              </w:rPr>
            </w:pPr>
            <w:r w:rsidRPr="00AD1496">
              <w:rPr>
                <w:rFonts w:asciiTheme="majorHAnsi" w:eastAsia="Times New Roman" w:hAnsiTheme="majorHAnsi" w:cstheme="majorHAnsi"/>
                <w:b/>
                <w:bCs/>
                <w:lang w:eastAsia="en-AU"/>
              </w:rPr>
              <w:t>Criteria</w:t>
            </w:r>
          </w:p>
        </w:tc>
        <w:tc>
          <w:tcPr>
            <w:tcW w:w="2356" w:type="dxa"/>
            <w:tcBorders>
              <w:top w:val="nil"/>
              <w:left w:val="nil"/>
              <w:bottom w:val="single" w:sz="4" w:space="0" w:color="auto"/>
              <w:right w:val="nil"/>
            </w:tcBorders>
            <w:shd w:val="clear" w:color="000000" w:fill="08193E"/>
            <w:noWrap/>
            <w:vAlign w:val="center"/>
            <w:hideMark/>
          </w:tcPr>
          <w:p w14:paraId="07B51172" w14:textId="77777777" w:rsidR="00D572D7" w:rsidRPr="00AD1496" w:rsidRDefault="00D572D7" w:rsidP="0025532A">
            <w:pPr>
              <w:spacing w:after="0" w:line="240" w:lineRule="auto"/>
              <w:rPr>
                <w:rFonts w:asciiTheme="majorHAnsi" w:eastAsia="Times New Roman" w:hAnsiTheme="majorHAnsi" w:cstheme="majorHAnsi"/>
                <w:b/>
                <w:bCs/>
                <w:lang w:eastAsia="en-AU"/>
              </w:rPr>
            </w:pPr>
            <w:r w:rsidRPr="00AD1496">
              <w:rPr>
                <w:rFonts w:asciiTheme="majorHAnsi" w:eastAsia="Times New Roman" w:hAnsiTheme="majorHAnsi" w:cstheme="majorHAnsi"/>
                <w:b/>
                <w:bCs/>
                <w:lang w:eastAsia="en-AU"/>
              </w:rPr>
              <w:t>Assessment</w:t>
            </w:r>
          </w:p>
        </w:tc>
        <w:tc>
          <w:tcPr>
            <w:tcW w:w="5550" w:type="dxa"/>
            <w:tcBorders>
              <w:top w:val="nil"/>
              <w:left w:val="nil"/>
              <w:bottom w:val="single" w:sz="4" w:space="0" w:color="auto"/>
              <w:right w:val="nil"/>
            </w:tcBorders>
            <w:shd w:val="clear" w:color="000000" w:fill="08193E"/>
            <w:vAlign w:val="center"/>
            <w:hideMark/>
          </w:tcPr>
          <w:p w14:paraId="486B094C" w14:textId="77777777" w:rsidR="00D572D7" w:rsidRPr="00AD1496" w:rsidRDefault="00D572D7" w:rsidP="0025532A">
            <w:pPr>
              <w:spacing w:after="0" w:line="240" w:lineRule="auto"/>
              <w:rPr>
                <w:rFonts w:asciiTheme="majorHAnsi" w:eastAsia="Times New Roman" w:hAnsiTheme="majorHAnsi" w:cstheme="majorHAnsi"/>
                <w:b/>
                <w:bCs/>
                <w:lang w:eastAsia="en-AU"/>
              </w:rPr>
            </w:pPr>
            <w:r w:rsidRPr="00AD1496">
              <w:rPr>
                <w:rFonts w:asciiTheme="majorHAnsi" w:eastAsia="Times New Roman" w:hAnsiTheme="majorHAnsi" w:cstheme="majorHAnsi"/>
                <w:b/>
                <w:bCs/>
                <w:lang w:eastAsia="en-AU"/>
              </w:rPr>
              <w:t> </w:t>
            </w:r>
          </w:p>
        </w:tc>
      </w:tr>
      <w:tr w:rsidR="00D572D7" w:rsidRPr="00AD1496" w14:paraId="740798FB" w14:textId="77777777" w:rsidTr="00402F27">
        <w:trPr>
          <w:trHeight w:val="780"/>
        </w:trPr>
        <w:tc>
          <w:tcPr>
            <w:tcW w:w="0" w:type="auto"/>
            <w:tcBorders>
              <w:top w:val="nil"/>
              <w:left w:val="nil"/>
              <w:bottom w:val="nil"/>
              <w:right w:val="nil"/>
            </w:tcBorders>
            <w:shd w:val="clear" w:color="auto" w:fill="auto"/>
            <w:noWrap/>
            <w:hideMark/>
          </w:tcPr>
          <w:p w14:paraId="23B21293"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E19</w:t>
            </w:r>
          </w:p>
        </w:tc>
        <w:tc>
          <w:tcPr>
            <w:tcW w:w="4283" w:type="dxa"/>
            <w:tcBorders>
              <w:top w:val="nil"/>
              <w:left w:val="nil"/>
              <w:bottom w:val="nil"/>
              <w:right w:val="nil"/>
            </w:tcBorders>
            <w:shd w:val="clear" w:color="auto" w:fill="auto"/>
            <w:hideMark/>
          </w:tcPr>
          <w:p w14:paraId="017F4D93"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National Partnership </w:t>
            </w:r>
            <w:r w:rsidRPr="00AD1496">
              <w:rPr>
                <w:rFonts w:asciiTheme="majorHAnsi" w:eastAsia="Times New Roman" w:hAnsiTheme="majorHAnsi" w:cstheme="majorHAnsi"/>
                <w:sz w:val="18"/>
                <w:szCs w:val="18"/>
                <w:u w:val="single"/>
                <w:lang w:eastAsia="en-AU"/>
              </w:rPr>
              <w:t>project payments</w:t>
            </w:r>
            <w:r w:rsidRPr="00AD1496">
              <w:rPr>
                <w:rFonts w:asciiTheme="majorHAnsi" w:eastAsia="Times New Roman" w:hAnsiTheme="majorHAnsi" w:cstheme="majorHAnsi"/>
                <w:sz w:val="18"/>
                <w:szCs w:val="18"/>
                <w:lang w:eastAsia="en-AU"/>
              </w:rPr>
              <w:t xml:space="preserve"> support national objectives and provide a financial contribution to the States and Territories to deliver specific projects.</w:t>
            </w:r>
          </w:p>
        </w:tc>
        <w:tc>
          <w:tcPr>
            <w:tcW w:w="1276" w:type="dxa"/>
            <w:tcBorders>
              <w:top w:val="nil"/>
              <w:left w:val="nil"/>
              <w:bottom w:val="nil"/>
              <w:right w:val="nil"/>
            </w:tcBorders>
            <w:shd w:val="clear" w:color="auto" w:fill="auto"/>
            <w:hideMark/>
          </w:tcPr>
          <w:p w14:paraId="0BCFAE69"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Effective</w:t>
            </w:r>
            <w:r w:rsidRPr="00AD1496">
              <w:rPr>
                <w:rFonts w:asciiTheme="majorHAnsi" w:eastAsia="Times New Roman" w:hAnsiTheme="majorHAnsi" w:cstheme="majorHAnsi"/>
                <w:b/>
                <w:bCs/>
                <w:sz w:val="18"/>
                <w:szCs w:val="18"/>
                <w:lang w:eastAsia="en-AU"/>
              </w:rPr>
              <w:br/>
              <w:t>Efficient</w:t>
            </w:r>
            <w:r w:rsidRPr="00AD1496">
              <w:rPr>
                <w:rFonts w:asciiTheme="majorHAnsi" w:eastAsia="Times New Roman" w:hAnsiTheme="majorHAnsi" w:cstheme="majorHAnsi"/>
                <w:b/>
                <w:bCs/>
                <w:sz w:val="18"/>
                <w:szCs w:val="18"/>
                <w:lang w:eastAsia="en-AU"/>
              </w:rPr>
              <w:br/>
              <w:t>Appropriate</w:t>
            </w:r>
          </w:p>
        </w:tc>
        <w:tc>
          <w:tcPr>
            <w:tcW w:w="2356" w:type="dxa"/>
            <w:tcBorders>
              <w:top w:val="nil"/>
              <w:left w:val="nil"/>
              <w:bottom w:val="nil"/>
              <w:right w:val="nil"/>
            </w:tcBorders>
            <w:shd w:val="clear" w:color="auto" w:fill="auto"/>
            <w:noWrap/>
            <w:vAlign w:val="bottom"/>
            <w:hideMark/>
          </w:tcPr>
          <w:p w14:paraId="3962B9DA" w14:textId="77777777" w:rsidR="00D572D7" w:rsidRPr="00AD1496" w:rsidRDefault="00D572D7" w:rsidP="0025532A">
            <w:pPr>
              <w:spacing w:after="0" w:line="240" w:lineRule="auto"/>
              <w:rPr>
                <w:rFonts w:asciiTheme="majorHAnsi" w:eastAsia="Times New Roman" w:hAnsiTheme="majorHAnsi" w:cstheme="majorHAnsi"/>
                <w:lang w:eastAsia="en-AU"/>
              </w:rPr>
            </w:pPr>
            <w:r w:rsidRPr="00AD1496">
              <w:rPr>
                <w:rFonts w:asciiTheme="majorHAnsi" w:eastAsia="Times New Roman" w:hAnsiTheme="majorHAnsi" w:cstheme="majorHAnsi"/>
                <w:noProof/>
                <w:lang w:eastAsia="en-AU"/>
              </w:rPr>
              <w:drawing>
                <wp:anchor distT="0" distB="0" distL="114300" distR="114300" simplePos="0" relativeHeight="251659264" behindDoc="0" locked="0" layoutInCell="1" allowOverlap="1" wp14:anchorId="542EBFBA" wp14:editId="207E2242">
                  <wp:simplePos x="0" y="0"/>
                  <wp:positionH relativeFrom="column">
                    <wp:posOffset>47625</wp:posOffset>
                  </wp:positionH>
                  <wp:positionV relativeFrom="paragraph">
                    <wp:posOffset>104775</wp:posOffset>
                  </wp:positionV>
                  <wp:extent cx="1057275" cy="542925"/>
                  <wp:effectExtent l="0" t="0" r="0" b="9525"/>
                  <wp:wrapNone/>
                  <wp:docPr id="21" name="Picture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E8A43-2B24-4E30-BE38-44FF9D6F7553}"/>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E8A43-2B24-4E30-BE38-44FF9D6F7553}"/>
                              </a:ext>
                            </a:extLst>
                          </pic:cNvPr>
                          <pic:cNvPicPr>
                            <a:picLocks noChangeAspect="1"/>
                          </pic:cNvPicPr>
                        </pic:nvPicPr>
                        <pic:blipFill rotWithShape="1">
                          <a:blip r:embed="rId33"/>
                          <a:srcRect b="43229"/>
                          <a:stretch/>
                        </pic:blipFill>
                        <pic:spPr>
                          <a:xfrm>
                            <a:off x="0" y="0"/>
                            <a:ext cx="1060796" cy="5468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40"/>
            </w:tblGrid>
            <w:tr w:rsidR="00D572D7" w:rsidRPr="00AD1496" w14:paraId="352CE44E" w14:textId="77777777" w:rsidTr="0025532A">
              <w:trPr>
                <w:trHeight w:val="780"/>
                <w:tblCellSpacing w:w="0" w:type="dxa"/>
              </w:trPr>
              <w:tc>
                <w:tcPr>
                  <w:tcW w:w="2140" w:type="dxa"/>
                  <w:tcBorders>
                    <w:top w:val="nil"/>
                    <w:left w:val="nil"/>
                    <w:bottom w:val="nil"/>
                    <w:right w:val="nil"/>
                  </w:tcBorders>
                  <w:shd w:val="clear" w:color="auto" w:fill="auto"/>
                  <w:noWrap/>
                  <w:hideMark/>
                </w:tcPr>
                <w:p w14:paraId="1B80BF05"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r>
          </w:tbl>
          <w:p w14:paraId="163F54BD" w14:textId="77777777" w:rsidR="00D572D7" w:rsidRPr="00AD1496" w:rsidRDefault="00D572D7" w:rsidP="0025532A">
            <w:pPr>
              <w:spacing w:after="0" w:line="240" w:lineRule="auto"/>
              <w:rPr>
                <w:rFonts w:asciiTheme="majorHAnsi" w:eastAsia="Times New Roman" w:hAnsiTheme="majorHAnsi" w:cstheme="majorHAnsi"/>
                <w:lang w:eastAsia="en-AU"/>
              </w:rPr>
            </w:pPr>
          </w:p>
        </w:tc>
        <w:tc>
          <w:tcPr>
            <w:tcW w:w="5550" w:type="dxa"/>
            <w:tcBorders>
              <w:top w:val="nil"/>
              <w:left w:val="nil"/>
              <w:bottom w:val="nil"/>
              <w:right w:val="nil"/>
            </w:tcBorders>
            <w:shd w:val="clear" w:color="auto" w:fill="auto"/>
            <w:hideMark/>
          </w:tcPr>
          <w:p w14:paraId="16A28651"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Payment arrangements under the IGAFFR allow for a wide range of payment structures to support reform efforts or incentivise certain behaviours. These payment features were not fully utilised in the NPA. Notwithstanding that, we note:</w:t>
            </w:r>
          </w:p>
        </w:tc>
      </w:tr>
      <w:tr w:rsidR="00D572D7" w:rsidRPr="00AD1496" w14:paraId="23888AF0" w14:textId="77777777" w:rsidTr="00402F27">
        <w:trPr>
          <w:trHeight w:val="852"/>
        </w:trPr>
        <w:tc>
          <w:tcPr>
            <w:tcW w:w="0" w:type="auto"/>
            <w:tcBorders>
              <w:top w:val="nil"/>
              <w:left w:val="nil"/>
              <w:bottom w:val="nil"/>
              <w:right w:val="nil"/>
            </w:tcBorders>
            <w:shd w:val="clear" w:color="auto" w:fill="auto"/>
            <w:noWrap/>
            <w:hideMark/>
          </w:tcPr>
          <w:p w14:paraId="6284C0EE"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7995E43D" w14:textId="77777777" w:rsidR="00D572D7" w:rsidRPr="00AD1496" w:rsidRDefault="00D572D7" w:rsidP="00ED75AD">
            <w:pPr>
              <w:spacing w:after="12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National Partnership </w:t>
            </w:r>
            <w:r w:rsidRPr="00AD1496">
              <w:rPr>
                <w:rFonts w:asciiTheme="majorHAnsi" w:eastAsia="Times New Roman" w:hAnsiTheme="majorHAnsi" w:cstheme="majorHAnsi"/>
                <w:sz w:val="18"/>
                <w:szCs w:val="18"/>
                <w:u w:val="single"/>
                <w:lang w:eastAsia="en-AU"/>
              </w:rPr>
              <w:t>facilitation payments</w:t>
            </w:r>
            <w:r w:rsidRPr="00AD1496">
              <w:rPr>
                <w:rFonts w:asciiTheme="majorHAnsi" w:eastAsia="Times New Roman" w:hAnsiTheme="majorHAnsi" w:cstheme="majorHAnsi"/>
                <w:sz w:val="18"/>
                <w:szCs w:val="18"/>
                <w:lang w:eastAsia="en-AU"/>
              </w:rPr>
              <w:t xml:space="preserve"> may be paid in advance of the States and Territories implementing a reform, in recognition of administrative and other costs of undertaking the reform.</w:t>
            </w:r>
          </w:p>
          <w:p w14:paraId="19EA4C18" w14:textId="758AD016" w:rsidR="00540755" w:rsidRPr="00AD1496" w:rsidRDefault="00540755" w:rsidP="00ED75AD">
            <w:pPr>
              <w:spacing w:after="12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National Partnership </w:t>
            </w:r>
            <w:r w:rsidRPr="00AD1496">
              <w:rPr>
                <w:rFonts w:asciiTheme="majorHAnsi" w:eastAsia="Times New Roman" w:hAnsiTheme="majorHAnsi" w:cstheme="majorHAnsi"/>
                <w:sz w:val="18"/>
                <w:szCs w:val="18"/>
                <w:u w:val="single"/>
                <w:lang w:eastAsia="en-AU"/>
              </w:rPr>
              <w:t>incentive payments</w:t>
            </w:r>
            <w:r w:rsidRPr="00AD1496">
              <w:rPr>
                <w:rFonts w:asciiTheme="majorHAnsi" w:eastAsia="Times New Roman" w:hAnsiTheme="majorHAnsi" w:cstheme="majorHAnsi"/>
                <w:sz w:val="18"/>
                <w:szCs w:val="18"/>
                <w:lang w:eastAsia="en-AU"/>
              </w:rPr>
              <w:t xml:space="preserve"> will be provided to reward the States and Territories which deliver reform progress or continuous improvement in service delivery.</w:t>
            </w:r>
          </w:p>
        </w:tc>
        <w:tc>
          <w:tcPr>
            <w:tcW w:w="1276" w:type="dxa"/>
            <w:tcBorders>
              <w:top w:val="nil"/>
              <w:left w:val="nil"/>
              <w:bottom w:val="nil"/>
              <w:right w:val="nil"/>
            </w:tcBorders>
            <w:shd w:val="clear" w:color="auto" w:fill="auto"/>
            <w:noWrap/>
            <w:hideMark/>
          </w:tcPr>
          <w:p w14:paraId="4C760232"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p>
        </w:tc>
        <w:tc>
          <w:tcPr>
            <w:tcW w:w="2356" w:type="dxa"/>
            <w:tcBorders>
              <w:top w:val="nil"/>
              <w:left w:val="nil"/>
              <w:bottom w:val="nil"/>
              <w:right w:val="nil"/>
            </w:tcBorders>
            <w:shd w:val="clear" w:color="auto" w:fill="auto"/>
            <w:noWrap/>
            <w:hideMark/>
          </w:tcPr>
          <w:p w14:paraId="663F0AF5"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1B944E32" w14:textId="0744A157" w:rsidR="00D572D7" w:rsidRPr="00AD1496" w:rsidRDefault="00D572D7" w:rsidP="00540755">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 xml:space="preserve">Originally, under the 2008 Agreement on Murray-Darling Basin </w:t>
            </w:r>
            <w:r w:rsidR="008D5ABF" w:rsidRPr="00AD1496">
              <w:rPr>
                <w:rFonts w:asciiTheme="majorHAnsi" w:hAnsiTheme="majorHAnsi" w:cstheme="majorHAnsi"/>
                <w:sz w:val="18"/>
                <w:lang w:eastAsia="en-AU"/>
              </w:rPr>
              <w:t>Reform</w:t>
            </w:r>
            <w:r w:rsidRPr="00AD1496">
              <w:rPr>
                <w:rFonts w:asciiTheme="majorHAnsi" w:hAnsiTheme="majorHAnsi" w:cstheme="majorHAnsi"/>
                <w:sz w:val="18"/>
                <w:lang w:eastAsia="en-AU"/>
              </w:rPr>
              <w:t xml:space="preserve">, the Commonwealth </w:t>
            </w:r>
            <w:r w:rsidR="00540755" w:rsidRPr="00AD1496">
              <w:rPr>
                <w:rFonts w:asciiTheme="majorHAnsi" w:hAnsiTheme="majorHAnsi" w:cstheme="majorHAnsi"/>
                <w:sz w:val="18"/>
                <w:lang w:eastAsia="en-AU"/>
              </w:rPr>
              <w:t>agreed that</w:t>
            </w:r>
            <w:r w:rsidRPr="00AD1496">
              <w:rPr>
                <w:rFonts w:asciiTheme="majorHAnsi" w:hAnsiTheme="majorHAnsi" w:cstheme="majorHAnsi"/>
                <w:sz w:val="18"/>
                <w:lang w:eastAsia="en-AU"/>
              </w:rPr>
              <w:t xml:space="preserve"> the States </w:t>
            </w:r>
            <w:r w:rsidR="00540755" w:rsidRPr="00AD1496">
              <w:rPr>
                <w:rFonts w:asciiTheme="majorHAnsi" w:hAnsiTheme="majorHAnsi" w:cstheme="majorHAnsi"/>
                <w:sz w:val="18"/>
                <w:lang w:eastAsia="en-AU"/>
              </w:rPr>
              <w:t xml:space="preserve">would not have to bear </w:t>
            </w:r>
            <w:r w:rsidRPr="00AD1496">
              <w:rPr>
                <w:rFonts w:asciiTheme="majorHAnsi" w:hAnsiTheme="majorHAnsi" w:cstheme="majorHAnsi"/>
                <w:sz w:val="18"/>
                <w:lang w:eastAsia="en-AU"/>
              </w:rPr>
              <w:t xml:space="preserve">the additional </w:t>
            </w:r>
            <w:r w:rsidR="00540755" w:rsidRPr="00AD1496">
              <w:rPr>
                <w:rFonts w:asciiTheme="majorHAnsi" w:hAnsiTheme="majorHAnsi" w:cstheme="majorHAnsi"/>
                <w:sz w:val="18"/>
                <w:lang w:eastAsia="en-AU"/>
              </w:rPr>
              <w:t>net</w:t>
            </w:r>
            <w:r w:rsidR="00F15F27" w:rsidRPr="00AD1496">
              <w:rPr>
                <w:rFonts w:asciiTheme="majorHAnsi" w:hAnsiTheme="majorHAnsi" w:cstheme="majorHAnsi"/>
                <w:sz w:val="18"/>
                <w:lang w:eastAsia="en-AU"/>
              </w:rPr>
              <w:t xml:space="preserve"> </w:t>
            </w:r>
            <w:r w:rsidRPr="00AD1496">
              <w:rPr>
                <w:rFonts w:asciiTheme="majorHAnsi" w:hAnsiTheme="majorHAnsi" w:cstheme="majorHAnsi"/>
                <w:sz w:val="18"/>
                <w:lang w:eastAsia="en-AU"/>
              </w:rPr>
              <w:t xml:space="preserve">costs </w:t>
            </w:r>
            <w:r w:rsidR="00F15F27" w:rsidRPr="00AD1496">
              <w:rPr>
                <w:rFonts w:asciiTheme="majorHAnsi" w:hAnsiTheme="majorHAnsi" w:cstheme="majorHAnsi"/>
                <w:sz w:val="18"/>
                <w:lang w:eastAsia="en-AU"/>
              </w:rPr>
              <w:t xml:space="preserve">arising from </w:t>
            </w:r>
            <w:r w:rsidRPr="00AD1496">
              <w:rPr>
                <w:rFonts w:asciiTheme="majorHAnsi" w:hAnsiTheme="majorHAnsi" w:cstheme="majorHAnsi"/>
                <w:sz w:val="18"/>
                <w:lang w:eastAsia="en-AU"/>
              </w:rPr>
              <w:t xml:space="preserve">implementing the reforms. The NPA (clause 4) </w:t>
            </w:r>
            <w:r w:rsidR="00540755" w:rsidRPr="00AD1496">
              <w:rPr>
                <w:rFonts w:asciiTheme="majorHAnsi" w:hAnsiTheme="majorHAnsi" w:cstheme="majorHAnsi"/>
                <w:sz w:val="18"/>
                <w:lang w:eastAsia="en-AU"/>
              </w:rPr>
              <w:t xml:space="preserve">replaced </w:t>
            </w:r>
            <w:r w:rsidRPr="00AD1496">
              <w:rPr>
                <w:rFonts w:asciiTheme="majorHAnsi" w:hAnsiTheme="majorHAnsi" w:cstheme="majorHAnsi"/>
                <w:sz w:val="18"/>
                <w:lang w:eastAsia="en-AU"/>
              </w:rPr>
              <w:t xml:space="preserve">that provision </w:t>
            </w:r>
            <w:r w:rsidR="00540755" w:rsidRPr="00AD1496">
              <w:rPr>
                <w:rFonts w:asciiTheme="majorHAnsi" w:hAnsiTheme="majorHAnsi" w:cstheme="majorHAnsi"/>
                <w:sz w:val="18"/>
                <w:lang w:eastAsia="en-AU"/>
              </w:rPr>
              <w:t xml:space="preserve">and consequently, payments by the Commonwealth to the States are structured as </w:t>
            </w:r>
            <w:r w:rsidR="00540755" w:rsidRPr="00AD1496">
              <w:rPr>
                <w:rFonts w:asciiTheme="majorHAnsi" w:hAnsiTheme="majorHAnsi" w:cstheme="majorHAnsi"/>
                <w:sz w:val="18"/>
                <w:u w:val="single"/>
                <w:lang w:eastAsia="en-AU"/>
              </w:rPr>
              <w:t>incentive payments</w:t>
            </w:r>
            <w:r w:rsidR="00540755" w:rsidRPr="00AD1496">
              <w:rPr>
                <w:rFonts w:asciiTheme="majorHAnsi" w:hAnsiTheme="majorHAnsi" w:cstheme="majorHAnsi"/>
                <w:sz w:val="18"/>
                <w:lang w:eastAsia="en-AU"/>
              </w:rPr>
              <w:t xml:space="preserve"> (rewards) to be paid on meeting reform milestones. This was agreed by all governments and aligns with the objective of the NPA for the Basin States to implement the water reforms.</w:t>
            </w:r>
          </w:p>
        </w:tc>
      </w:tr>
      <w:tr w:rsidR="00424A04" w:rsidRPr="00AD1496" w14:paraId="0DA5E384" w14:textId="77777777" w:rsidTr="00424A04">
        <w:trPr>
          <w:trHeight w:val="1062"/>
        </w:trPr>
        <w:tc>
          <w:tcPr>
            <w:tcW w:w="0" w:type="auto"/>
            <w:tcBorders>
              <w:top w:val="single" w:sz="4" w:space="0" w:color="000000"/>
              <w:left w:val="nil"/>
              <w:right w:val="nil"/>
            </w:tcBorders>
            <w:shd w:val="clear" w:color="auto" w:fill="auto"/>
            <w:noWrap/>
            <w:hideMark/>
          </w:tcPr>
          <w:p w14:paraId="62B0A279" w14:textId="77777777" w:rsidR="00424A04" w:rsidRPr="00AD1496" w:rsidRDefault="00424A04"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E19</w:t>
            </w:r>
          </w:p>
        </w:tc>
        <w:tc>
          <w:tcPr>
            <w:tcW w:w="4283" w:type="dxa"/>
            <w:tcBorders>
              <w:top w:val="single" w:sz="4" w:space="0" w:color="000000"/>
              <w:left w:val="nil"/>
              <w:right w:val="nil"/>
            </w:tcBorders>
            <w:shd w:val="clear" w:color="auto" w:fill="auto"/>
            <w:hideMark/>
          </w:tcPr>
          <w:p w14:paraId="2D55F1AC" w14:textId="77777777" w:rsidR="00424A04" w:rsidRPr="00AD1496" w:rsidRDefault="00424A04"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Incentive payments will be structured in a way that encourages the achievement of ambitious milestones or performance benchmarks</w:t>
            </w:r>
          </w:p>
        </w:tc>
        <w:tc>
          <w:tcPr>
            <w:tcW w:w="1276" w:type="dxa"/>
            <w:tcBorders>
              <w:top w:val="single" w:sz="4" w:space="0" w:color="000000"/>
              <w:left w:val="nil"/>
              <w:right w:val="nil"/>
            </w:tcBorders>
            <w:shd w:val="clear" w:color="auto" w:fill="auto"/>
            <w:hideMark/>
          </w:tcPr>
          <w:p w14:paraId="552514AC" w14:textId="77777777" w:rsidR="00424A04" w:rsidRPr="00AD1496" w:rsidRDefault="00424A04"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Effective</w:t>
            </w:r>
            <w:r w:rsidRPr="00AD1496">
              <w:rPr>
                <w:rFonts w:asciiTheme="majorHAnsi" w:eastAsia="Times New Roman" w:hAnsiTheme="majorHAnsi" w:cstheme="majorHAnsi"/>
                <w:b/>
                <w:bCs/>
                <w:sz w:val="18"/>
                <w:szCs w:val="18"/>
                <w:lang w:eastAsia="en-AU"/>
              </w:rPr>
              <w:br/>
              <w:t>Efficient</w:t>
            </w:r>
          </w:p>
        </w:tc>
        <w:tc>
          <w:tcPr>
            <w:tcW w:w="2356" w:type="dxa"/>
            <w:tcBorders>
              <w:top w:val="single" w:sz="4" w:space="0" w:color="000000"/>
              <w:left w:val="nil"/>
              <w:bottom w:val="nil"/>
              <w:right w:val="nil"/>
            </w:tcBorders>
            <w:shd w:val="clear" w:color="auto" w:fill="auto"/>
            <w:noWrap/>
            <w:hideMark/>
          </w:tcPr>
          <w:p w14:paraId="0A96E560" w14:textId="77777777" w:rsidR="00424A04" w:rsidRPr="00AD1496" w:rsidRDefault="00424A04"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noProof/>
                <w:sz w:val="18"/>
                <w:szCs w:val="18"/>
                <w:lang w:eastAsia="en-AU"/>
              </w:rPr>
              <w:drawing>
                <wp:anchor distT="0" distB="0" distL="114300" distR="114300" simplePos="0" relativeHeight="251674624" behindDoc="0" locked="0" layoutInCell="1" allowOverlap="1" wp14:anchorId="21F4EFBB" wp14:editId="4C9DA3C9">
                  <wp:simplePos x="0" y="0"/>
                  <wp:positionH relativeFrom="column">
                    <wp:posOffset>47625</wp:posOffset>
                  </wp:positionH>
                  <wp:positionV relativeFrom="paragraph">
                    <wp:posOffset>57150</wp:posOffset>
                  </wp:positionV>
                  <wp:extent cx="1057275" cy="542925"/>
                  <wp:effectExtent l="0" t="0" r="0" b="9525"/>
                  <wp:wrapNone/>
                  <wp:docPr id="20" name="Pictur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2CEF7A-0067-40A8-8A37-0CEBD21D3E1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2CEF7A-0067-40A8-8A37-0CEBD21D3E12}"/>
                              </a:ext>
                            </a:extLst>
                          </pic:cNvPr>
                          <pic:cNvPicPr>
                            <a:picLocks noChangeAspect="1"/>
                          </pic:cNvPicPr>
                        </pic:nvPicPr>
                        <pic:blipFill rotWithShape="1">
                          <a:blip r:embed="rId33"/>
                          <a:srcRect b="43229"/>
                          <a:stretch/>
                        </pic:blipFill>
                        <pic:spPr>
                          <a:xfrm>
                            <a:off x="0" y="0"/>
                            <a:ext cx="1060796" cy="546847"/>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single" w:sz="4" w:space="0" w:color="000000"/>
              <w:left w:val="nil"/>
              <w:right w:val="nil"/>
            </w:tcBorders>
            <w:shd w:val="clear" w:color="auto" w:fill="auto"/>
            <w:hideMark/>
          </w:tcPr>
          <w:p w14:paraId="51E88E9E" w14:textId="77777777" w:rsidR="005763FB" w:rsidRPr="00AD1496" w:rsidRDefault="00424A04" w:rsidP="005763FB">
            <w:pPr>
              <w:pStyle w:val="Tablebodytext"/>
              <w:rPr>
                <w:rFonts w:asciiTheme="majorHAnsi" w:hAnsiTheme="majorHAnsi" w:cstheme="majorHAnsi"/>
                <w:sz w:val="18"/>
                <w:szCs w:val="18"/>
              </w:rPr>
            </w:pPr>
            <w:r w:rsidRPr="00AD1496">
              <w:rPr>
                <w:rFonts w:asciiTheme="majorHAnsi" w:eastAsia="Times New Roman" w:hAnsiTheme="majorHAnsi" w:cstheme="majorHAnsi"/>
                <w:sz w:val="18"/>
                <w:szCs w:val="18"/>
                <w:lang w:eastAsia="en-AU"/>
              </w:rPr>
              <w:t>The incentive payments were structured as ‘all or nothing’ payments. This provides maximum incentive to achieve all performance milestones</w:t>
            </w:r>
            <w:r w:rsidR="005763FB" w:rsidRPr="00AD1496">
              <w:rPr>
                <w:rFonts w:asciiTheme="majorHAnsi" w:eastAsia="Times New Roman" w:hAnsiTheme="majorHAnsi" w:cstheme="majorHAnsi"/>
                <w:sz w:val="18"/>
                <w:szCs w:val="18"/>
                <w:lang w:eastAsia="en-AU"/>
              </w:rPr>
              <w:t xml:space="preserve">, </w:t>
            </w:r>
            <w:r w:rsidR="005763FB" w:rsidRPr="00AD1496">
              <w:rPr>
                <w:rFonts w:asciiTheme="majorHAnsi" w:hAnsiTheme="majorHAnsi" w:cstheme="majorHAnsi"/>
                <w:sz w:val="18"/>
                <w:szCs w:val="18"/>
              </w:rPr>
              <w:t>but it also has two adverse effects:</w:t>
            </w:r>
          </w:p>
          <w:p w14:paraId="76DA6997" w14:textId="4B7F0326" w:rsidR="005763FB" w:rsidRPr="00AD1496" w:rsidRDefault="005763FB" w:rsidP="005763FB">
            <w:pPr>
              <w:pStyle w:val="Tablebullet"/>
              <w:ind w:left="454" w:hanging="454"/>
              <w:rPr>
                <w:rFonts w:asciiTheme="majorHAnsi" w:hAnsiTheme="majorHAnsi" w:cstheme="majorHAnsi"/>
                <w:sz w:val="18"/>
                <w:szCs w:val="18"/>
              </w:rPr>
            </w:pPr>
            <w:r w:rsidRPr="00AD1496">
              <w:rPr>
                <w:rFonts w:asciiTheme="majorHAnsi" w:hAnsiTheme="majorHAnsi" w:cstheme="majorHAnsi"/>
                <w:sz w:val="18"/>
                <w:szCs w:val="18"/>
              </w:rPr>
              <w:t xml:space="preserve">it can place extraordinary pressure on the assessor and decision-maker as to whether payments should be </w:t>
            </w:r>
            <w:r w:rsidR="00606F37" w:rsidRPr="00AD1496">
              <w:rPr>
                <w:rFonts w:asciiTheme="majorHAnsi" w:hAnsiTheme="majorHAnsi" w:cstheme="majorHAnsi"/>
                <w:sz w:val="18"/>
                <w:szCs w:val="18"/>
              </w:rPr>
              <w:t>paid—noting that clause 24 of the NPA allows the Minister to authorise payments where adverse findings are not considered material to that State’s cooperation with reforms. However there may be pressure in marginal circumstances to compromise on assessment of the materiality of achievement of performance milestones.</w:t>
            </w:r>
          </w:p>
          <w:p w14:paraId="59EA5403" w14:textId="37698A17" w:rsidR="00424A04" w:rsidRPr="00AD1496" w:rsidRDefault="005763FB" w:rsidP="005763FB">
            <w:pPr>
              <w:pStyle w:val="Tablebullet"/>
              <w:ind w:left="454" w:hanging="454"/>
              <w:rPr>
                <w:rFonts w:asciiTheme="majorHAnsi" w:hAnsiTheme="majorHAnsi" w:cstheme="majorHAnsi"/>
                <w:sz w:val="18"/>
              </w:rPr>
            </w:pPr>
            <w:r w:rsidRPr="00AD1496">
              <w:rPr>
                <w:rFonts w:asciiTheme="majorHAnsi" w:hAnsiTheme="majorHAnsi" w:cstheme="majorHAnsi"/>
                <w:sz w:val="18"/>
                <w:szCs w:val="18"/>
              </w:rPr>
              <w:t>it removes all financial incentive to strive for performance in circumstances where a jurisdiction is clearly not going to achieve an ambitious milestone.</w:t>
            </w:r>
          </w:p>
        </w:tc>
      </w:tr>
      <w:tr w:rsidR="00D572D7" w:rsidRPr="00AD1496" w14:paraId="6C7FF5A0" w14:textId="77777777" w:rsidTr="00402F27">
        <w:trPr>
          <w:trHeight w:val="852"/>
        </w:trPr>
        <w:tc>
          <w:tcPr>
            <w:tcW w:w="0" w:type="auto"/>
            <w:tcBorders>
              <w:top w:val="single" w:sz="4" w:space="0" w:color="auto"/>
              <w:left w:val="nil"/>
              <w:bottom w:val="nil"/>
              <w:right w:val="nil"/>
            </w:tcBorders>
            <w:shd w:val="clear" w:color="auto" w:fill="auto"/>
            <w:noWrap/>
            <w:hideMark/>
          </w:tcPr>
          <w:p w14:paraId="346AB718"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E19</w:t>
            </w:r>
          </w:p>
        </w:tc>
        <w:tc>
          <w:tcPr>
            <w:tcW w:w="4283" w:type="dxa"/>
            <w:tcBorders>
              <w:top w:val="single" w:sz="4" w:space="0" w:color="auto"/>
              <w:left w:val="nil"/>
              <w:bottom w:val="nil"/>
              <w:right w:val="nil"/>
            </w:tcBorders>
            <w:shd w:val="clear" w:color="auto" w:fill="auto"/>
            <w:hideMark/>
          </w:tcPr>
          <w:p w14:paraId="7CFED7AD"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Graduated benchmarks may be specified in NPAs to provide that States receive some proportion of funding for an activity that has not fully achieved the reform or service delivery objectives but has resulted in partial attainment of the agreed outcomes.</w:t>
            </w:r>
          </w:p>
        </w:tc>
        <w:tc>
          <w:tcPr>
            <w:tcW w:w="1276" w:type="dxa"/>
            <w:tcBorders>
              <w:top w:val="single" w:sz="4" w:space="0" w:color="auto"/>
              <w:left w:val="nil"/>
              <w:bottom w:val="nil"/>
              <w:right w:val="nil"/>
            </w:tcBorders>
            <w:shd w:val="clear" w:color="auto" w:fill="auto"/>
            <w:hideMark/>
          </w:tcPr>
          <w:p w14:paraId="57A4FE62"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Effective</w:t>
            </w:r>
            <w:r w:rsidRPr="00AD1496">
              <w:rPr>
                <w:rFonts w:asciiTheme="majorHAnsi" w:eastAsia="Times New Roman" w:hAnsiTheme="majorHAnsi" w:cstheme="majorHAnsi"/>
                <w:b/>
                <w:bCs/>
                <w:sz w:val="18"/>
                <w:szCs w:val="18"/>
                <w:lang w:eastAsia="en-AU"/>
              </w:rPr>
              <w:br/>
              <w:t>Efficient</w:t>
            </w:r>
            <w:r w:rsidRPr="00AD1496">
              <w:rPr>
                <w:rFonts w:asciiTheme="majorHAnsi" w:eastAsia="Times New Roman" w:hAnsiTheme="majorHAnsi" w:cstheme="majorHAnsi"/>
                <w:b/>
                <w:bCs/>
                <w:sz w:val="18"/>
                <w:szCs w:val="18"/>
                <w:lang w:eastAsia="en-AU"/>
              </w:rPr>
              <w:br/>
              <w:t>Appropriate</w:t>
            </w:r>
          </w:p>
        </w:tc>
        <w:tc>
          <w:tcPr>
            <w:tcW w:w="2356" w:type="dxa"/>
            <w:tcBorders>
              <w:top w:val="single" w:sz="4" w:space="0" w:color="000000"/>
              <w:left w:val="nil"/>
              <w:bottom w:val="nil"/>
              <w:right w:val="nil"/>
            </w:tcBorders>
            <w:shd w:val="clear" w:color="auto" w:fill="auto"/>
            <w:noWrap/>
            <w:vAlign w:val="bottom"/>
            <w:hideMark/>
          </w:tcPr>
          <w:p w14:paraId="6FBFDD3A" w14:textId="048F58F9" w:rsidR="00D572D7" w:rsidRPr="00AD1496" w:rsidRDefault="00424A04" w:rsidP="0025532A">
            <w:pPr>
              <w:spacing w:after="0" w:line="240" w:lineRule="auto"/>
              <w:rPr>
                <w:rFonts w:asciiTheme="majorHAnsi" w:eastAsia="Times New Roman" w:hAnsiTheme="majorHAnsi" w:cstheme="majorHAnsi"/>
                <w:lang w:eastAsia="en-AU"/>
              </w:rPr>
            </w:pPr>
            <w:r w:rsidRPr="00AD1496">
              <w:rPr>
                <w:rFonts w:asciiTheme="majorHAnsi" w:eastAsia="Times New Roman" w:hAnsiTheme="majorHAnsi" w:cstheme="majorHAnsi"/>
                <w:noProof/>
                <w:lang w:eastAsia="en-AU"/>
              </w:rPr>
              <w:drawing>
                <wp:anchor distT="0" distB="0" distL="114300" distR="114300" simplePos="0" relativeHeight="251661312" behindDoc="0" locked="0" layoutInCell="1" allowOverlap="1" wp14:anchorId="56A14177" wp14:editId="03FD85C0">
                  <wp:simplePos x="0" y="0"/>
                  <wp:positionH relativeFrom="column">
                    <wp:posOffset>131445</wp:posOffset>
                  </wp:positionH>
                  <wp:positionV relativeFrom="paragraph">
                    <wp:posOffset>-558165</wp:posOffset>
                  </wp:positionV>
                  <wp:extent cx="1057275" cy="542925"/>
                  <wp:effectExtent l="0" t="0" r="9525" b="9525"/>
                  <wp:wrapNone/>
                  <wp:docPr id="19" name="Picture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F5C5C-3901-4C6F-9647-26CCB436459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F5C5C-3901-4C6F-9647-26CCB4364598}"/>
                              </a:ext>
                            </a:extLst>
                          </pic:cNvPr>
                          <pic:cNvPicPr>
                            <a:picLocks noChangeAspect="1"/>
                          </pic:cNvPicPr>
                        </pic:nvPicPr>
                        <pic:blipFill rotWithShape="1">
                          <a:blip r:embed="rId34"/>
                          <a:srcRect b="43229"/>
                          <a:stretch/>
                        </pic:blipFill>
                        <pic:spPr>
                          <a:xfrm>
                            <a:off x="0" y="0"/>
                            <a:ext cx="1057275" cy="542925"/>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single" w:sz="4" w:space="0" w:color="auto"/>
              <w:left w:val="nil"/>
              <w:bottom w:val="nil"/>
              <w:right w:val="nil"/>
            </w:tcBorders>
            <w:shd w:val="clear" w:color="auto" w:fill="auto"/>
            <w:hideMark/>
          </w:tcPr>
          <w:p w14:paraId="2E96DBEE" w14:textId="1258A3FC"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The </w:t>
            </w:r>
            <w:r w:rsidR="005A35FC" w:rsidRPr="00AD1496">
              <w:rPr>
                <w:rFonts w:asciiTheme="majorHAnsi" w:eastAsia="Times New Roman" w:hAnsiTheme="majorHAnsi" w:cstheme="majorHAnsi"/>
                <w:sz w:val="18"/>
                <w:szCs w:val="18"/>
                <w:lang w:eastAsia="en-AU"/>
              </w:rPr>
              <w:t>‘all or nothing’</w:t>
            </w:r>
            <w:r w:rsidRPr="00AD1496">
              <w:rPr>
                <w:rFonts w:asciiTheme="majorHAnsi" w:eastAsia="Times New Roman" w:hAnsiTheme="majorHAnsi" w:cstheme="majorHAnsi"/>
                <w:sz w:val="18"/>
                <w:szCs w:val="18"/>
                <w:lang w:eastAsia="en-AU"/>
              </w:rPr>
              <w:t xml:space="preserve"> nature of the reward payments was a significant point of contention with the States. A recommendation of the mid-term review and an ANAO audit was to renegotiate the NPA because it was inadequate for performance management in not allowing for partial payments. </w:t>
            </w:r>
          </w:p>
        </w:tc>
      </w:tr>
      <w:tr w:rsidR="00D572D7" w:rsidRPr="00AD1496" w14:paraId="602FCC35" w14:textId="77777777" w:rsidTr="00402F27">
        <w:trPr>
          <w:trHeight w:val="780"/>
        </w:trPr>
        <w:tc>
          <w:tcPr>
            <w:tcW w:w="0" w:type="auto"/>
            <w:tcBorders>
              <w:top w:val="nil"/>
              <w:left w:val="nil"/>
              <w:bottom w:val="nil"/>
              <w:right w:val="nil"/>
            </w:tcBorders>
            <w:shd w:val="clear" w:color="auto" w:fill="auto"/>
            <w:noWrap/>
            <w:hideMark/>
          </w:tcPr>
          <w:p w14:paraId="03FEF5DD"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672AC0C7"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1276" w:type="dxa"/>
            <w:tcBorders>
              <w:top w:val="nil"/>
              <w:left w:val="nil"/>
              <w:bottom w:val="nil"/>
              <w:right w:val="nil"/>
            </w:tcBorders>
            <w:shd w:val="clear" w:color="auto" w:fill="auto"/>
            <w:hideMark/>
          </w:tcPr>
          <w:p w14:paraId="6E32738C"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2356" w:type="dxa"/>
            <w:tcBorders>
              <w:top w:val="nil"/>
              <w:left w:val="nil"/>
              <w:bottom w:val="single" w:sz="4" w:space="0" w:color="000000"/>
              <w:right w:val="nil"/>
            </w:tcBorders>
            <w:shd w:val="clear" w:color="auto" w:fill="auto"/>
            <w:noWrap/>
            <w:hideMark/>
          </w:tcPr>
          <w:p w14:paraId="2087B939"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11D980D3" w14:textId="59FE7B67" w:rsidR="00D572D7" w:rsidRPr="00AD1496" w:rsidRDefault="009C60E8"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We understand that the Department decided it was not efficient to renegotiate the NPA to more tightly define milestones so late in the current NPA; however, any </w:t>
            </w:r>
            <w:r w:rsidR="00D572D7" w:rsidRPr="00AD1496">
              <w:rPr>
                <w:rFonts w:asciiTheme="majorHAnsi" w:eastAsia="Times New Roman" w:hAnsiTheme="majorHAnsi" w:cstheme="majorHAnsi"/>
                <w:sz w:val="18"/>
                <w:szCs w:val="18"/>
                <w:lang w:eastAsia="en-AU"/>
              </w:rPr>
              <w:t>future NPA should contain a better payment structure that is linked to tightly specified and outcomes-focussed milestones.</w:t>
            </w:r>
          </w:p>
        </w:tc>
      </w:tr>
      <w:tr w:rsidR="00D572D7" w:rsidRPr="00AD1496" w14:paraId="66F71144" w14:textId="77777777" w:rsidTr="00402F27">
        <w:trPr>
          <w:trHeight w:val="803"/>
        </w:trPr>
        <w:tc>
          <w:tcPr>
            <w:tcW w:w="0" w:type="auto"/>
            <w:tcBorders>
              <w:top w:val="single" w:sz="4" w:space="0" w:color="auto"/>
              <w:left w:val="nil"/>
              <w:bottom w:val="nil"/>
              <w:right w:val="nil"/>
            </w:tcBorders>
            <w:shd w:val="clear" w:color="auto" w:fill="auto"/>
            <w:noWrap/>
            <w:hideMark/>
          </w:tcPr>
          <w:p w14:paraId="24B9F7E1"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E19</w:t>
            </w:r>
          </w:p>
        </w:tc>
        <w:tc>
          <w:tcPr>
            <w:tcW w:w="4283" w:type="dxa"/>
            <w:tcBorders>
              <w:top w:val="single" w:sz="4" w:space="0" w:color="auto"/>
              <w:left w:val="nil"/>
              <w:bottom w:val="nil"/>
              <w:right w:val="nil"/>
            </w:tcBorders>
            <w:shd w:val="clear" w:color="auto" w:fill="auto"/>
            <w:hideMark/>
          </w:tcPr>
          <w:p w14:paraId="0D67386D" w14:textId="7098694F" w:rsidR="00D572D7" w:rsidRPr="00AD1496" w:rsidRDefault="00D572D7" w:rsidP="007477FE">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National Partnerships should set out clear, mutually agreed and ambitious performance benchmarks that can be assessed by the COAG Reform Council.</w:t>
            </w:r>
          </w:p>
        </w:tc>
        <w:tc>
          <w:tcPr>
            <w:tcW w:w="1276" w:type="dxa"/>
            <w:tcBorders>
              <w:top w:val="single" w:sz="4" w:space="0" w:color="auto"/>
              <w:left w:val="nil"/>
              <w:bottom w:val="nil"/>
              <w:right w:val="nil"/>
            </w:tcBorders>
            <w:shd w:val="clear" w:color="auto" w:fill="auto"/>
            <w:hideMark/>
          </w:tcPr>
          <w:p w14:paraId="4BEC5E3A"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Effective</w:t>
            </w:r>
            <w:r w:rsidRPr="00AD1496">
              <w:rPr>
                <w:rFonts w:asciiTheme="majorHAnsi" w:eastAsia="Times New Roman" w:hAnsiTheme="majorHAnsi" w:cstheme="majorHAnsi"/>
                <w:b/>
                <w:bCs/>
                <w:sz w:val="18"/>
                <w:szCs w:val="18"/>
                <w:lang w:eastAsia="en-AU"/>
              </w:rPr>
              <w:br/>
              <w:t>Efficient</w:t>
            </w:r>
            <w:r w:rsidRPr="00AD1496">
              <w:rPr>
                <w:rFonts w:asciiTheme="majorHAnsi" w:eastAsia="Times New Roman" w:hAnsiTheme="majorHAnsi" w:cstheme="majorHAnsi"/>
                <w:b/>
                <w:bCs/>
                <w:sz w:val="18"/>
                <w:szCs w:val="18"/>
                <w:lang w:eastAsia="en-AU"/>
              </w:rPr>
              <w:br/>
              <w:t>Appropriate</w:t>
            </w:r>
          </w:p>
        </w:tc>
        <w:tc>
          <w:tcPr>
            <w:tcW w:w="2356" w:type="dxa"/>
            <w:tcBorders>
              <w:top w:val="single" w:sz="4" w:space="0" w:color="000000"/>
              <w:left w:val="nil"/>
              <w:bottom w:val="nil"/>
              <w:right w:val="nil"/>
            </w:tcBorders>
            <w:shd w:val="clear" w:color="auto" w:fill="auto"/>
            <w:noWrap/>
            <w:vAlign w:val="bottom"/>
            <w:hideMark/>
          </w:tcPr>
          <w:p w14:paraId="45E7AC7D" w14:textId="77777777" w:rsidR="00D572D7" w:rsidRPr="00AD1496" w:rsidRDefault="00D572D7" w:rsidP="0025532A">
            <w:pPr>
              <w:spacing w:after="0" w:line="240" w:lineRule="auto"/>
              <w:rPr>
                <w:rFonts w:asciiTheme="majorHAnsi" w:eastAsia="Times New Roman" w:hAnsiTheme="majorHAnsi" w:cstheme="majorHAnsi"/>
                <w:lang w:eastAsia="en-AU"/>
              </w:rPr>
            </w:pPr>
            <w:r w:rsidRPr="00AD1496">
              <w:rPr>
                <w:rFonts w:asciiTheme="majorHAnsi" w:eastAsia="Times New Roman" w:hAnsiTheme="majorHAnsi" w:cstheme="majorHAnsi"/>
                <w:noProof/>
                <w:lang w:eastAsia="en-AU"/>
              </w:rPr>
              <w:drawing>
                <wp:anchor distT="0" distB="0" distL="114300" distR="114300" simplePos="0" relativeHeight="251662336" behindDoc="0" locked="0" layoutInCell="1" allowOverlap="1" wp14:anchorId="167FC0EB" wp14:editId="3E18AA8C">
                  <wp:simplePos x="0" y="0"/>
                  <wp:positionH relativeFrom="column">
                    <wp:posOffset>40005</wp:posOffset>
                  </wp:positionH>
                  <wp:positionV relativeFrom="paragraph">
                    <wp:posOffset>-502920</wp:posOffset>
                  </wp:positionV>
                  <wp:extent cx="1057275" cy="542925"/>
                  <wp:effectExtent l="0" t="0" r="0" b="9525"/>
                  <wp:wrapNone/>
                  <wp:docPr id="18" name="Pictur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33AC8-E051-42F1-9280-5F36908DB00C}"/>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33AC8-E051-42F1-9280-5F36908DB00C}"/>
                              </a:ext>
                            </a:extLst>
                          </pic:cNvPr>
                          <pic:cNvPicPr>
                            <a:picLocks noChangeAspect="1"/>
                          </pic:cNvPicPr>
                        </pic:nvPicPr>
                        <pic:blipFill rotWithShape="1">
                          <a:blip r:embed="rId34"/>
                          <a:srcRect b="43229"/>
                          <a:stretch/>
                        </pic:blipFill>
                        <pic:spPr>
                          <a:xfrm>
                            <a:off x="0" y="0"/>
                            <a:ext cx="1057275" cy="542925"/>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single" w:sz="4" w:space="0" w:color="auto"/>
              <w:left w:val="nil"/>
              <w:bottom w:val="nil"/>
              <w:right w:val="nil"/>
            </w:tcBorders>
            <w:shd w:val="clear" w:color="auto" w:fill="auto"/>
            <w:hideMark/>
          </w:tcPr>
          <w:p w14:paraId="63D113F2" w14:textId="65F7EC5F" w:rsidR="00D572D7" w:rsidRPr="00AD1496" w:rsidRDefault="00D572D7" w:rsidP="00136937">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The NPA </w:t>
            </w:r>
            <w:r w:rsidR="005673C0" w:rsidRPr="00AD1496">
              <w:rPr>
                <w:rFonts w:asciiTheme="majorHAnsi" w:eastAsia="Times New Roman" w:hAnsiTheme="majorHAnsi" w:cstheme="majorHAnsi"/>
                <w:sz w:val="18"/>
                <w:szCs w:val="18"/>
                <w:lang w:eastAsia="en-AU"/>
              </w:rPr>
              <w:t xml:space="preserve">provided </w:t>
            </w:r>
            <w:r w:rsidRPr="00AD1496">
              <w:rPr>
                <w:rFonts w:asciiTheme="majorHAnsi" w:eastAsia="Times New Roman" w:hAnsiTheme="majorHAnsi" w:cstheme="majorHAnsi"/>
                <w:sz w:val="18"/>
                <w:szCs w:val="18"/>
                <w:lang w:eastAsia="en-AU"/>
              </w:rPr>
              <w:t xml:space="preserve">that the National Water Commission </w:t>
            </w:r>
            <w:r w:rsidR="005673C0" w:rsidRPr="00AD1496">
              <w:rPr>
                <w:rFonts w:asciiTheme="majorHAnsi" w:eastAsia="Times New Roman" w:hAnsiTheme="majorHAnsi" w:cstheme="majorHAnsi"/>
                <w:sz w:val="18"/>
                <w:szCs w:val="18"/>
                <w:lang w:eastAsia="en-AU"/>
              </w:rPr>
              <w:t xml:space="preserve">would </w:t>
            </w:r>
            <w:r w:rsidRPr="00AD1496">
              <w:rPr>
                <w:rFonts w:asciiTheme="majorHAnsi" w:eastAsia="Times New Roman" w:hAnsiTheme="majorHAnsi" w:cstheme="majorHAnsi"/>
                <w:sz w:val="18"/>
                <w:szCs w:val="18"/>
                <w:lang w:eastAsia="en-AU"/>
              </w:rPr>
              <w:t>assess annual progress against the milestones. The NWC had a role as special adviser to the COAG Reform Council on water reform matters. The NPA was therefore consistent with the IGAFFR.</w:t>
            </w:r>
          </w:p>
        </w:tc>
      </w:tr>
      <w:tr w:rsidR="00E646EA" w:rsidRPr="00AD1496" w14:paraId="7CA368B3" w14:textId="77777777" w:rsidTr="00402F27">
        <w:trPr>
          <w:trHeight w:val="1272"/>
        </w:trPr>
        <w:tc>
          <w:tcPr>
            <w:tcW w:w="0" w:type="auto"/>
            <w:tcBorders>
              <w:top w:val="nil"/>
              <w:left w:val="nil"/>
              <w:bottom w:val="nil"/>
              <w:right w:val="nil"/>
            </w:tcBorders>
            <w:shd w:val="clear" w:color="auto" w:fill="auto"/>
            <w:noWrap/>
            <w:hideMark/>
          </w:tcPr>
          <w:p w14:paraId="2F5E3C30"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4D37D926"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These should be structured in a way that encourages the achievement of ambitious reform targets and continuous improvement in service delivery, and provide better outcomes than would otherwise be expected.</w:t>
            </w:r>
          </w:p>
        </w:tc>
        <w:tc>
          <w:tcPr>
            <w:tcW w:w="1276" w:type="dxa"/>
            <w:tcBorders>
              <w:top w:val="nil"/>
              <w:left w:val="nil"/>
              <w:bottom w:val="nil"/>
              <w:right w:val="nil"/>
            </w:tcBorders>
            <w:shd w:val="clear" w:color="auto" w:fill="auto"/>
            <w:noWrap/>
            <w:hideMark/>
          </w:tcPr>
          <w:p w14:paraId="72926D3B"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p>
        </w:tc>
        <w:tc>
          <w:tcPr>
            <w:tcW w:w="2356" w:type="dxa"/>
            <w:tcBorders>
              <w:top w:val="nil"/>
              <w:left w:val="nil"/>
              <w:bottom w:val="nil"/>
              <w:right w:val="nil"/>
            </w:tcBorders>
            <w:shd w:val="clear" w:color="auto" w:fill="auto"/>
            <w:noWrap/>
            <w:hideMark/>
          </w:tcPr>
          <w:p w14:paraId="767555E2" w14:textId="77777777" w:rsidR="00E646EA" w:rsidRPr="00AD1496" w:rsidRDefault="00E646EA" w:rsidP="00E646E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2AF54D24" w14:textId="6F5E170F"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On the abolition of the NWC, the NPA assessment function could have also transferred to an agency not involved in Basin water reform, for example the PC</w:t>
            </w:r>
            <w:r>
              <w:rPr>
                <w:rFonts w:asciiTheme="majorHAnsi" w:eastAsia="Times New Roman" w:hAnsiTheme="majorHAnsi" w:cstheme="majorHAnsi"/>
                <w:sz w:val="18"/>
                <w:szCs w:val="18"/>
                <w:lang w:eastAsia="en-AU"/>
              </w:rPr>
              <w:t>, instead of to</w:t>
            </w:r>
            <w:r w:rsidRPr="00AD1496">
              <w:rPr>
                <w:rFonts w:asciiTheme="majorHAnsi" w:eastAsia="Times New Roman" w:hAnsiTheme="majorHAnsi" w:cstheme="majorHAnsi"/>
                <w:sz w:val="18"/>
                <w:szCs w:val="18"/>
                <w:lang w:eastAsia="en-AU"/>
              </w:rPr>
              <w:t xml:space="preserve"> the Department. </w:t>
            </w:r>
            <w:r>
              <w:rPr>
                <w:rFonts w:asciiTheme="majorHAnsi" w:eastAsia="Times New Roman" w:hAnsiTheme="majorHAnsi" w:cstheme="majorHAnsi"/>
                <w:sz w:val="18"/>
                <w:szCs w:val="18"/>
                <w:lang w:eastAsia="en-AU"/>
              </w:rPr>
              <w:t>Given</w:t>
            </w:r>
            <w:r w:rsidRPr="00AD1496">
              <w:rPr>
                <w:rFonts w:asciiTheme="majorHAnsi" w:eastAsia="Times New Roman" w:hAnsiTheme="majorHAnsi" w:cstheme="majorHAnsi"/>
                <w:sz w:val="18"/>
                <w:szCs w:val="18"/>
                <w:lang w:eastAsia="en-AU"/>
              </w:rPr>
              <w:t xml:space="preserve"> the Department</w:t>
            </w:r>
            <w:r>
              <w:rPr>
                <w:rFonts w:asciiTheme="majorHAnsi" w:eastAsia="Times New Roman" w:hAnsiTheme="majorHAnsi" w:cstheme="majorHAnsi"/>
                <w:sz w:val="18"/>
                <w:szCs w:val="18"/>
                <w:lang w:eastAsia="en-AU"/>
              </w:rPr>
              <w:t>’s ongoing</w:t>
            </w:r>
            <w:r w:rsidRPr="00AD1496">
              <w:rPr>
                <w:rFonts w:asciiTheme="majorHAnsi" w:eastAsia="Times New Roman" w:hAnsiTheme="majorHAnsi" w:cstheme="majorHAnsi"/>
                <w:sz w:val="18"/>
                <w:szCs w:val="18"/>
                <w:lang w:eastAsia="en-AU"/>
              </w:rPr>
              <w:t xml:space="preserve"> role </w:t>
            </w:r>
            <w:r>
              <w:rPr>
                <w:rFonts w:asciiTheme="majorHAnsi" w:eastAsia="Times New Roman" w:hAnsiTheme="majorHAnsi" w:cstheme="majorHAnsi"/>
                <w:sz w:val="18"/>
                <w:szCs w:val="18"/>
                <w:lang w:eastAsia="en-AU"/>
              </w:rPr>
              <w:t>in</w:t>
            </w:r>
            <w:r w:rsidRPr="00AD1496">
              <w:rPr>
                <w:rFonts w:asciiTheme="majorHAnsi" w:eastAsia="Times New Roman" w:hAnsiTheme="majorHAnsi" w:cstheme="majorHAnsi"/>
                <w:sz w:val="18"/>
                <w:szCs w:val="18"/>
                <w:lang w:eastAsia="en-AU"/>
              </w:rPr>
              <w:t xml:space="preserve"> briefing the Minister, there is a potential conflict </w:t>
            </w:r>
            <w:r>
              <w:rPr>
                <w:rFonts w:asciiTheme="majorHAnsi" w:eastAsia="Times New Roman" w:hAnsiTheme="majorHAnsi" w:cstheme="majorHAnsi"/>
                <w:sz w:val="18"/>
                <w:szCs w:val="18"/>
                <w:lang w:eastAsia="en-AU"/>
              </w:rPr>
              <w:t>in it</w:t>
            </w:r>
            <w:r w:rsidRPr="00AD1496">
              <w:rPr>
                <w:rFonts w:asciiTheme="majorHAnsi" w:eastAsia="Times New Roman" w:hAnsiTheme="majorHAnsi" w:cstheme="majorHAnsi"/>
                <w:sz w:val="18"/>
                <w:szCs w:val="18"/>
                <w:lang w:eastAsia="en-AU"/>
              </w:rPr>
              <w:t xml:space="preserve"> undertaking assessments</w:t>
            </w:r>
            <w:r>
              <w:rPr>
                <w:rFonts w:asciiTheme="majorHAnsi" w:eastAsia="Times New Roman" w:hAnsiTheme="majorHAnsi" w:cstheme="majorHAnsi"/>
                <w:sz w:val="18"/>
                <w:szCs w:val="18"/>
                <w:lang w:eastAsia="en-AU"/>
              </w:rPr>
              <w:t>, which may reduce the integrity of outcomes. Conversely an independent entity may not sufficiently understand the complexity of the water reform landscape to make sound judgements. Care needs to be taken to ensure both third-party scrutiny and expert judgement are included in the assessment process, enabled by clear responsibilities and well-defined milestones.</w:t>
            </w:r>
          </w:p>
          <w:p w14:paraId="0E6CBD36" w14:textId="30FB8E71" w:rsidR="00E646EA" w:rsidRPr="00AD1496" w:rsidRDefault="00E646EA" w:rsidP="00E646EA">
            <w:pPr>
              <w:spacing w:after="0" w:line="240" w:lineRule="auto"/>
              <w:rPr>
                <w:rFonts w:asciiTheme="majorHAnsi" w:eastAsia="Times New Roman" w:hAnsiTheme="majorHAnsi" w:cstheme="majorHAnsi"/>
                <w:sz w:val="18"/>
                <w:szCs w:val="18"/>
                <w:lang w:eastAsia="en-AU"/>
              </w:rPr>
            </w:pPr>
          </w:p>
        </w:tc>
      </w:tr>
      <w:tr w:rsidR="00E646EA" w:rsidRPr="00AD1496" w14:paraId="05DC6990" w14:textId="77777777" w:rsidTr="00402F27">
        <w:trPr>
          <w:trHeight w:val="1320"/>
        </w:trPr>
        <w:tc>
          <w:tcPr>
            <w:tcW w:w="0" w:type="auto"/>
            <w:tcBorders>
              <w:top w:val="nil"/>
              <w:left w:val="nil"/>
              <w:bottom w:val="single" w:sz="4" w:space="0" w:color="auto"/>
              <w:right w:val="nil"/>
            </w:tcBorders>
            <w:shd w:val="clear" w:color="auto" w:fill="auto"/>
            <w:noWrap/>
            <w:hideMark/>
          </w:tcPr>
          <w:p w14:paraId="6E429547"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4283" w:type="dxa"/>
            <w:tcBorders>
              <w:top w:val="nil"/>
              <w:left w:val="nil"/>
              <w:bottom w:val="single" w:sz="4" w:space="0" w:color="auto"/>
              <w:right w:val="nil"/>
            </w:tcBorders>
            <w:shd w:val="clear" w:color="auto" w:fill="auto"/>
            <w:hideMark/>
          </w:tcPr>
          <w:p w14:paraId="0B65C54C"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1276" w:type="dxa"/>
            <w:tcBorders>
              <w:top w:val="nil"/>
              <w:left w:val="nil"/>
              <w:bottom w:val="nil"/>
              <w:right w:val="nil"/>
            </w:tcBorders>
            <w:shd w:val="clear" w:color="auto" w:fill="auto"/>
            <w:noWrap/>
            <w:hideMark/>
          </w:tcPr>
          <w:p w14:paraId="5A4EBBDD"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p>
        </w:tc>
        <w:tc>
          <w:tcPr>
            <w:tcW w:w="2356" w:type="dxa"/>
            <w:tcBorders>
              <w:top w:val="nil"/>
              <w:left w:val="nil"/>
              <w:bottom w:val="single" w:sz="4" w:space="0" w:color="auto"/>
              <w:right w:val="nil"/>
            </w:tcBorders>
            <w:shd w:val="clear" w:color="auto" w:fill="auto"/>
            <w:noWrap/>
            <w:hideMark/>
          </w:tcPr>
          <w:p w14:paraId="198A0386" w14:textId="77777777"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5550" w:type="dxa"/>
            <w:tcBorders>
              <w:top w:val="nil"/>
              <w:left w:val="nil"/>
              <w:bottom w:val="single" w:sz="4" w:space="0" w:color="auto"/>
              <w:right w:val="nil"/>
            </w:tcBorders>
            <w:shd w:val="clear" w:color="auto" w:fill="auto"/>
            <w:hideMark/>
          </w:tcPr>
          <w:p w14:paraId="5EB5F748" w14:textId="692766CE" w:rsidR="00E646EA" w:rsidRPr="00AD1496" w:rsidRDefault="00E646EA" w:rsidP="00E646E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We also note there is little use of timeframes in the milestones. Poorly specified milestones—in terms of deliverables linked to outcomes </w:t>
            </w:r>
            <w:r w:rsidRPr="00EB6425">
              <w:rPr>
                <w:rFonts w:asciiTheme="majorHAnsi" w:eastAsia="Times New Roman" w:hAnsiTheme="majorHAnsi" w:cstheme="majorHAnsi"/>
                <w:sz w:val="18"/>
                <w:szCs w:val="18"/>
                <w:lang w:eastAsia="en-AU"/>
              </w:rPr>
              <w:t>and</w:t>
            </w:r>
            <w:r w:rsidRPr="00AD1496">
              <w:rPr>
                <w:rFonts w:asciiTheme="majorHAnsi" w:eastAsia="Times New Roman" w:hAnsiTheme="majorHAnsi" w:cstheme="majorHAnsi"/>
                <w:sz w:val="18"/>
                <w:szCs w:val="18"/>
                <w:lang w:eastAsia="en-AU"/>
              </w:rPr>
              <w:t xml:space="preserve"> timeframes—may have undermined achievement of </w:t>
            </w:r>
            <w:r>
              <w:rPr>
                <w:rFonts w:asciiTheme="majorHAnsi" w:eastAsia="Times New Roman" w:hAnsiTheme="majorHAnsi" w:cstheme="majorHAnsi"/>
                <w:sz w:val="18"/>
                <w:szCs w:val="18"/>
                <w:lang w:eastAsia="en-AU"/>
              </w:rPr>
              <w:t>some</w:t>
            </w:r>
            <w:r w:rsidRPr="00AD1496">
              <w:rPr>
                <w:rFonts w:asciiTheme="majorHAnsi" w:eastAsia="Times New Roman" w:hAnsiTheme="majorHAnsi" w:cstheme="majorHAnsi"/>
                <w:sz w:val="18"/>
                <w:szCs w:val="18"/>
                <w:lang w:eastAsia="en-AU"/>
              </w:rPr>
              <w:t xml:space="preserve"> outcomes. For example, </w:t>
            </w:r>
            <w:r>
              <w:rPr>
                <w:rFonts w:asciiTheme="majorHAnsi" w:eastAsia="Times New Roman" w:hAnsiTheme="majorHAnsi" w:cstheme="majorHAnsi"/>
                <w:sz w:val="18"/>
                <w:szCs w:val="18"/>
                <w:lang w:eastAsia="en-AU"/>
              </w:rPr>
              <w:t xml:space="preserve">long-term watering </w:t>
            </w:r>
            <w:r w:rsidRPr="00AD1496">
              <w:rPr>
                <w:rFonts w:asciiTheme="majorHAnsi" w:eastAsia="Times New Roman" w:hAnsiTheme="majorHAnsi" w:cstheme="majorHAnsi"/>
                <w:sz w:val="18"/>
                <w:szCs w:val="18"/>
                <w:lang w:eastAsia="en-AU"/>
              </w:rPr>
              <w:t>plans could have been linked to milestones that required consultation and drafts in earlier periods. This would have provided a financial incentive, as well as a strong signal of intent, about early engagement.</w:t>
            </w:r>
          </w:p>
        </w:tc>
      </w:tr>
      <w:tr w:rsidR="00D572D7" w:rsidRPr="00AD1496" w14:paraId="2B08F556" w14:textId="77777777" w:rsidTr="00402F27">
        <w:trPr>
          <w:trHeight w:val="1200"/>
        </w:trPr>
        <w:tc>
          <w:tcPr>
            <w:tcW w:w="0" w:type="auto"/>
            <w:tcBorders>
              <w:top w:val="nil"/>
              <w:left w:val="nil"/>
              <w:bottom w:val="single" w:sz="4" w:space="0" w:color="auto"/>
              <w:right w:val="nil"/>
            </w:tcBorders>
            <w:shd w:val="clear" w:color="auto" w:fill="auto"/>
            <w:noWrap/>
            <w:hideMark/>
          </w:tcPr>
          <w:p w14:paraId="73CA7C12"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D4</w:t>
            </w:r>
          </w:p>
        </w:tc>
        <w:tc>
          <w:tcPr>
            <w:tcW w:w="4283" w:type="dxa"/>
            <w:tcBorders>
              <w:top w:val="nil"/>
              <w:left w:val="nil"/>
              <w:bottom w:val="single" w:sz="4" w:space="0" w:color="auto"/>
              <w:right w:val="nil"/>
            </w:tcBorders>
            <w:shd w:val="clear" w:color="auto" w:fill="auto"/>
            <w:hideMark/>
          </w:tcPr>
          <w:p w14:paraId="3A06B8AC"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Where Commonwealth own-purpose expenses and State own-purpose expenses directly contribute to the objectives, outcomes and outputs of a National Partnership agreement, estimates should be included in that National Partnership, even if it does not involve financial transfers between the Commonwealth and the States, for example in areas of significant policy collaboration</w:t>
            </w:r>
          </w:p>
        </w:tc>
        <w:tc>
          <w:tcPr>
            <w:tcW w:w="1276" w:type="dxa"/>
            <w:tcBorders>
              <w:top w:val="single" w:sz="4" w:space="0" w:color="auto"/>
              <w:left w:val="nil"/>
              <w:bottom w:val="nil"/>
              <w:right w:val="nil"/>
            </w:tcBorders>
            <w:shd w:val="clear" w:color="auto" w:fill="auto"/>
            <w:hideMark/>
          </w:tcPr>
          <w:p w14:paraId="2EE77B52"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Appropriate</w:t>
            </w:r>
          </w:p>
        </w:tc>
        <w:tc>
          <w:tcPr>
            <w:tcW w:w="2356" w:type="dxa"/>
            <w:tcBorders>
              <w:top w:val="nil"/>
              <w:left w:val="nil"/>
              <w:bottom w:val="single" w:sz="4" w:space="0" w:color="auto"/>
              <w:right w:val="nil"/>
            </w:tcBorders>
            <w:shd w:val="clear" w:color="auto" w:fill="auto"/>
            <w:noWrap/>
            <w:hideMark/>
          </w:tcPr>
          <w:p w14:paraId="0172D4A8"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noProof/>
                <w:sz w:val="18"/>
                <w:szCs w:val="18"/>
                <w:lang w:eastAsia="en-AU"/>
              </w:rPr>
              <w:drawing>
                <wp:anchor distT="0" distB="0" distL="114300" distR="114300" simplePos="0" relativeHeight="251663360" behindDoc="0" locked="0" layoutInCell="1" allowOverlap="1" wp14:anchorId="53539905" wp14:editId="49223EB1">
                  <wp:simplePos x="0" y="0"/>
                  <wp:positionH relativeFrom="column">
                    <wp:posOffset>47625</wp:posOffset>
                  </wp:positionH>
                  <wp:positionV relativeFrom="paragraph">
                    <wp:posOffset>38100</wp:posOffset>
                  </wp:positionV>
                  <wp:extent cx="1057275" cy="542925"/>
                  <wp:effectExtent l="0" t="0" r="0" b="9525"/>
                  <wp:wrapNone/>
                  <wp:docPr id="17" name="Picture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0D3E0D-D089-4DF0-B953-A0DA10B25241}"/>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0D3E0D-D089-4DF0-B953-A0DA10B25241}"/>
                              </a:ext>
                            </a:extLst>
                          </pic:cNvPr>
                          <pic:cNvPicPr>
                            <a:picLocks noChangeAspect="1"/>
                          </pic:cNvPicPr>
                        </pic:nvPicPr>
                        <pic:blipFill rotWithShape="1">
                          <a:blip r:embed="rId35"/>
                          <a:srcRect b="43229"/>
                          <a:stretch/>
                        </pic:blipFill>
                        <pic:spPr>
                          <a:xfrm>
                            <a:off x="0" y="0"/>
                            <a:ext cx="1060796" cy="546847"/>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nil"/>
              <w:left w:val="nil"/>
              <w:bottom w:val="single" w:sz="4" w:space="0" w:color="auto"/>
              <w:right w:val="nil"/>
            </w:tcBorders>
            <w:shd w:val="clear" w:color="auto" w:fill="auto"/>
            <w:hideMark/>
          </w:tcPr>
          <w:p w14:paraId="2D54D8AB"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The NPA could have included total Commonwealth-own and State-own expenditure on implementation of the water reforms. Reporting actual expenditures against forecast expenditures would have increased public transparency of the reforms.</w:t>
            </w:r>
          </w:p>
        </w:tc>
      </w:tr>
      <w:tr w:rsidR="00D572D7" w:rsidRPr="00AD1496" w14:paraId="12790D33" w14:textId="77777777" w:rsidTr="00A8788C">
        <w:trPr>
          <w:trHeight w:val="1020"/>
        </w:trPr>
        <w:tc>
          <w:tcPr>
            <w:tcW w:w="0" w:type="auto"/>
            <w:tcBorders>
              <w:top w:val="nil"/>
              <w:left w:val="nil"/>
              <w:bottom w:val="single" w:sz="4" w:space="0" w:color="auto"/>
              <w:right w:val="nil"/>
            </w:tcBorders>
            <w:shd w:val="clear" w:color="auto" w:fill="auto"/>
            <w:noWrap/>
            <w:hideMark/>
          </w:tcPr>
          <w:p w14:paraId="11B8A1B9"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D35</w:t>
            </w:r>
          </w:p>
        </w:tc>
        <w:tc>
          <w:tcPr>
            <w:tcW w:w="4283" w:type="dxa"/>
            <w:tcBorders>
              <w:top w:val="nil"/>
              <w:left w:val="nil"/>
              <w:bottom w:val="single" w:sz="4" w:space="0" w:color="auto"/>
              <w:right w:val="nil"/>
            </w:tcBorders>
            <w:shd w:val="clear" w:color="auto" w:fill="auto"/>
            <w:hideMark/>
          </w:tcPr>
          <w:p w14:paraId="0C2EC08D" w14:textId="5FBF19FE" w:rsidR="00402F27" w:rsidRPr="00AD1496" w:rsidRDefault="00402F2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Where</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the achievement of pre-determined</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milestones</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or performance</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benchmarks</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is</w:t>
            </w:r>
            <w:r w:rsidR="00901671"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 xml:space="preserve">required before a payment is made to a State or Territory: </w:t>
            </w:r>
          </w:p>
          <w:p w14:paraId="7320FE3F" w14:textId="3A6B5541"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(a) in the case of </w:t>
            </w:r>
            <w:r w:rsidRPr="00AD1496">
              <w:rPr>
                <w:rFonts w:asciiTheme="majorHAnsi" w:eastAsia="Times New Roman" w:hAnsiTheme="majorHAnsi" w:cstheme="majorHAnsi"/>
                <w:sz w:val="18"/>
                <w:szCs w:val="18"/>
                <w:u w:val="single"/>
                <w:lang w:eastAsia="en-AU"/>
              </w:rPr>
              <w:t>reward payments</w:t>
            </w:r>
            <w:r w:rsidRPr="00AD1496">
              <w:rPr>
                <w:rFonts w:asciiTheme="majorHAnsi" w:eastAsia="Times New Roman" w:hAnsiTheme="majorHAnsi" w:cstheme="majorHAnsi"/>
                <w:sz w:val="18"/>
                <w:szCs w:val="18"/>
                <w:lang w:eastAsia="en-AU"/>
              </w:rPr>
              <w:t xml:space="preserve"> that provide an incentive for States and Territories to implement nationally significant reforms or service delivery improvements, and as soon as possible following receipt of a recommendation from the COAG Reform Council as to whether a pre-determined performance benchmark has been </w:t>
            </w:r>
            <w:r w:rsidR="00633AAB" w:rsidRPr="00AD1496">
              <w:rPr>
                <w:rFonts w:asciiTheme="majorHAnsi" w:eastAsia="Times New Roman" w:hAnsiTheme="majorHAnsi" w:cstheme="majorHAnsi"/>
                <w:sz w:val="18"/>
                <w:szCs w:val="18"/>
                <w:lang w:eastAsia="en-AU"/>
              </w:rPr>
              <w:t>achieved the Commonwealth will consider that recommendation and the Commonwealth Treasurer will make a determination as to whether all or part of the reward payment will be paid</w:t>
            </w:r>
          </w:p>
        </w:tc>
        <w:tc>
          <w:tcPr>
            <w:tcW w:w="1276" w:type="dxa"/>
            <w:tcBorders>
              <w:top w:val="single" w:sz="4" w:space="0" w:color="auto"/>
              <w:left w:val="nil"/>
              <w:bottom w:val="single" w:sz="4" w:space="0" w:color="auto"/>
              <w:right w:val="nil"/>
            </w:tcBorders>
            <w:shd w:val="clear" w:color="auto" w:fill="auto"/>
            <w:hideMark/>
          </w:tcPr>
          <w:p w14:paraId="53C6BCBF"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Efficient</w:t>
            </w:r>
            <w:r w:rsidRPr="00AD1496">
              <w:rPr>
                <w:rFonts w:asciiTheme="majorHAnsi" w:eastAsia="Times New Roman" w:hAnsiTheme="majorHAnsi" w:cstheme="majorHAnsi"/>
                <w:b/>
                <w:bCs/>
                <w:sz w:val="18"/>
                <w:szCs w:val="18"/>
                <w:lang w:eastAsia="en-AU"/>
              </w:rPr>
              <w:br/>
              <w:t>Appropriate</w:t>
            </w:r>
          </w:p>
        </w:tc>
        <w:tc>
          <w:tcPr>
            <w:tcW w:w="2356" w:type="dxa"/>
            <w:tcBorders>
              <w:top w:val="nil"/>
              <w:left w:val="nil"/>
              <w:bottom w:val="single" w:sz="4" w:space="0" w:color="auto"/>
              <w:right w:val="nil"/>
            </w:tcBorders>
            <w:shd w:val="clear" w:color="auto" w:fill="auto"/>
            <w:noWrap/>
            <w:hideMark/>
          </w:tcPr>
          <w:p w14:paraId="0A43C561"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noProof/>
                <w:sz w:val="18"/>
                <w:szCs w:val="18"/>
                <w:lang w:eastAsia="en-AU"/>
              </w:rPr>
              <w:drawing>
                <wp:anchor distT="0" distB="0" distL="114300" distR="114300" simplePos="0" relativeHeight="251664384" behindDoc="0" locked="0" layoutInCell="1" allowOverlap="1" wp14:anchorId="41CBD907" wp14:editId="4451BB62">
                  <wp:simplePos x="0" y="0"/>
                  <wp:positionH relativeFrom="column">
                    <wp:posOffset>47625</wp:posOffset>
                  </wp:positionH>
                  <wp:positionV relativeFrom="paragraph">
                    <wp:posOffset>57150</wp:posOffset>
                  </wp:positionV>
                  <wp:extent cx="1057275" cy="552450"/>
                  <wp:effectExtent l="0" t="0" r="9525" b="0"/>
                  <wp:wrapNone/>
                  <wp:docPr id="16"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60CCC-58BD-4D00-BCBB-758FEA0FAC28}"/>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60CCC-58BD-4D00-BCBB-758FEA0FAC28}"/>
                              </a:ext>
                            </a:extLst>
                          </pic:cNvPr>
                          <pic:cNvPicPr>
                            <a:picLocks noChangeAspect="1"/>
                          </pic:cNvPicPr>
                        </pic:nvPicPr>
                        <pic:blipFill rotWithShape="1">
                          <a:blip r:embed="rId34"/>
                          <a:srcRect b="43229"/>
                          <a:stretch/>
                        </pic:blipFill>
                        <pic:spPr>
                          <a:xfrm>
                            <a:off x="0" y="0"/>
                            <a:ext cx="1060796" cy="546847"/>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nil"/>
              <w:left w:val="nil"/>
              <w:bottom w:val="single" w:sz="4" w:space="0" w:color="auto"/>
              <w:right w:val="nil"/>
            </w:tcBorders>
            <w:shd w:val="clear" w:color="auto" w:fill="auto"/>
            <w:hideMark/>
          </w:tcPr>
          <w:p w14:paraId="64F7D37B" w14:textId="7DF22A44" w:rsidR="00D572D7" w:rsidRPr="00AD1496" w:rsidRDefault="0020634A" w:rsidP="007477FE">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As the NPA contains only reward payments, </w:t>
            </w:r>
            <w:r>
              <w:rPr>
                <w:rFonts w:asciiTheme="majorHAnsi" w:eastAsia="Times New Roman" w:hAnsiTheme="majorHAnsi" w:cstheme="majorHAnsi"/>
                <w:sz w:val="18"/>
                <w:szCs w:val="18"/>
                <w:lang w:eastAsia="en-AU"/>
              </w:rPr>
              <w:t xml:space="preserve">after abolition of the NWC </w:t>
            </w:r>
            <w:r w:rsidRPr="00AD1496">
              <w:rPr>
                <w:rFonts w:asciiTheme="majorHAnsi" w:eastAsia="Times New Roman" w:hAnsiTheme="majorHAnsi" w:cstheme="majorHAnsi"/>
                <w:sz w:val="18"/>
                <w:szCs w:val="18"/>
                <w:lang w:eastAsia="en-AU"/>
              </w:rPr>
              <w:t>the assessment should have been undertaken by a similar independent entity. The IGAFFR does not provide for a role for the Minister in the case of reward payments. This issue should have been identified by the central agencies at the draft NPA stage.</w:t>
            </w:r>
            <w:r>
              <w:rPr>
                <w:rFonts w:asciiTheme="majorHAnsi" w:eastAsia="Times New Roman" w:hAnsiTheme="majorHAnsi" w:cstheme="majorHAnsi"/>
                <w:sz w:val="18"/>
                <w:szCs w:val="18"/>
                <w:lang w:eastAsia="en-AU"/>
              </w:rPr>
              <w:t xml:space="preserve"> However for consideration in future agreements, there are arguments in favour of both internal and external assessment, as identified in E19 above.</w:t>
            </w:r>
          </w:p>
        </w:tc>
      </w:tr>
      <w:tr w:rsidR="00D572D7" w:rsidRPr="00AD1496" w14:paraId="6A5EA96A" w14:textId="77777777" w:rsidTr="00A8788C">
        <w:trPr>
          <w:trHeight w:val="829"/>
        </w:trPr>
        <w:tc>
          <w:tcPr>
            <w:tcW w:w="0" w:type="auto"/>
            <w:tcBorders>
              <w:top w:val="single" w:sz="4" w:space="0" w:color="auto"/>
              <w:left w:val="nil"/>
              <w:bottom w:val="single" w:sz="4" w:space="0" w:color="auto"/>
              <w:right w:val="nil"/>
            </w:tcBorders>
            <w:shd w:val="clear" w:color="auto" w:fill="auto"/>
            <w:noWrap/>
            <w:hideMark/>
          </w:tcPr>
          <w:p w14:paraId="734C14D6"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lastRenderedPageBreak/>
              <w:t>E24</w:t>
            </w:r>
          </w:p>
        </w:tc>
        <w:tc>
          <w:tcPr>
            <w:tcW w:w="4283" w:type="dxa"/>
            <w:tcBorders>
              <w:top w:val="single" w:sz="4" w:space="0" w:color="auto"/>
              <w:left w:val="nil"/>
              <w:bottom w:val="single" w:sz="4" w:space="0" w:color="auto"/>
              <w:right w:val="nil"/>
            </w:tcBorders>
            <w:shd w:val="clear" w:color="auto" w:fill="auto"/>
            <w:hideMark/>
          </w:tcPr>
          <w:p w14:paraId="48C83FD7" w14:textId="44B5D845" w:rsidR="00D572D7" w:rsidRPr="00AD1496" w:rsidRDefault="00D572D7" w:rsidP="007477FE">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National Partnership reward payments would not be paid to a State or Territory until an independent assessment by the COAG Reform Council</w:t>
            </w:r>
            <w:r w:rsidR="00B123FD"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demonstrates that performance benchmarks have been achieved</w:t>
            </w:r>
          </w:p>
        </w:tc>
        <w:tc>
          <w:tcPr>
            <w:tcW w:w="1276" w:type="dxa"/>
            <w:tcBorders>
              <w:top w:val="single" w:sz="4" w:space="0" w:color="auto"/>
              <w:left w:val="nil"/>
              <w:bottom w:val="single" w:sz="4" w:space="0" w:color="auto"/>
              <w:right w:val="nil"/>
            </w:tcBorders>
            <w:shd w:val="clear" w:color="auto" w:fill="auto"/>
            <w:noWrap/>
            <w:hideMark/>
          </w:tcPr>
          <w:p w14:paraId="4545FCBD"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2356" w:type="dxa"/>
            <w:tcBorders>
              <w:top w:val="single" w:sz="4" w:space="0" w:color="auto"/>
              <w:left w:val="nil"/>
              <w:bottom w:val="single" w:sz="4" w:space="0" w:color="auto"/>
              <w:right w:val="nil"/>
            </w:tcBorders>
            <w:shd w:val="clear" w:color="auto" w:fill="auto"/>
            <w:noWrap/>
            <w:hideMark/>
          </w:tcPr>
          <w:p w14:paraId="28FDAC23"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5550" w:type="dxa"/>
            <w:tcBorders>
              <w:top w:val="single" w:sz="4" w:space="0" w:color="auto"/>
              <w:left w:val="nil"/>
              <w:bottom w:val="single" w:sz="4" w:space="0" w:color="auto"/>
              <w:right w:val="nil"/>
            </w:tcBorders>
            <w:shd w:val="clear" w:color="auto" w:fill="auto"/>
            <w:hideMark/>
          </w:tcPr>
          <w:p w14:paraId="26C18D83"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r>
      <w:tr w:rsidR="00D572D7" w:rsidRPr="00AD1496" w14:paraId="39E7B049" w14:textId="77777777" w:rsidTr="00402F27">
        <w:trPr>
          <w:trHeight w:val="480"/>
        </w:trPr>
        <w:tc>
          <w:tcPr>
            <w:tcW w:w="0" w:type="auto"/>
            <w:tcBorders>
              <w:top w:val="nil"/>
              <w:left w:val="nil"/>
              <w:bottom w:val="nil"/>
              <w:right w:val="nil"/>
            </w:tcBorders>
            <w:shd w:val="clear" w:color="auto" w:fill="auto"/>
            <w:noWrap/>
            <w:hideMark/>
          </w:tcPr>
          <w:p w14:paraId="4C9624A5"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E21</w:t>
            </w:r>
          </w:p>
        </w:tc>
        <w:tc>
          <w:tcPr>
            <w:tcW w:w="4283" w:type="dxa"/>
            <w:tcBorders>
              <w:top w:val="nil"/>
              <w:left w:val="nil"/>
              <w:bottom w:val="nil"/>
              <w:right w:val="nil"/>
            </w:tcBorders>
            <w:shd w:val="clear" w:color="auto" w:fill="auto"/>
            <w:hideMark/>
          </w:tcPr>
          <w:p w14:paraId="37089F50"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The following principles guide the basis of Commonwealth support for a national reform or service delivery improvement in areas of state or territory responsibility:</w:t>
            </w:r>
          </w:p>
        </w:tc>
        <w:tc>
          <w:tcPr>
            <w:tcW w:w="1276" w:type="dxa"/>
            <w:tcBorders>
              <w:top w:val="nil"/>
              <w:left w:val="nil"/>
              <w:bottom w:val="nil"/>
              <w:right w:val="nil"/>
            </w:tcBorders>
            <w:shd w:val="clear" w:color="auto" w:fill="auto"/>
            <w:hideMark/>
          </w:tcPr>
          <w:p w14:paraId="60D4A3F1"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Appropriate</w:t>
            </w:r>
          </w:p>
        </w:tc>
        <w:tc>
          <w:tcPr>
            <w:tcW w:w="2356" w:type="dxa"/>
            <w:vMerge w:val="restart"/>
            <w:tcBorders>
              <w:top w:val="nil"/>
              <w:left w:val="nil"/>
              <w:bottom w:val="nil"/>
              <w:right w:val="nil"/>
            </w:tcBorders>
            <w:shd w:val="clear" w:color="auto" w:fill="auto"/>
            <w:noWrap/>
            <w:hideMark/>
          </w:tcPr>
          <w:p w14:paraId="58A23342"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noProof/>
                <w:sz w:val="18"/>
                <w:szCs w:val="18"/>
                <w:lang w:eastAsia="en-AU"/>
              </w:rPr>
              <w:drawing>
                <wp:anchor distT="0" distB="0" distL="114300" distR="114300" simplePos="0" relativeHeight="251665408" behindDoc="0" locked="0" layoutInCell="1" allowOverlap="1" wp14:anchorId="0E8E7047" wp14:editId="097606D3">
                  <wp:simplePos x="0" y="0"/>
                  <wp:positionH relativeFrom="column">
                    <wp:posOffset>47625</wp:posOffset>
                  </wp:positionH>
                  <wp:positionV relativeFrom="paragraph">
                    <wp:posOffset>95429</wp:posOffset>
                  </wp:positionV>
                  <wp:extent cx="1057275" cy="552450"/>
                  <wp:effectExtent l="0" t="0" r="9525" b="0"/>
                  <wp:wrapNone/>
                  <wp:docPr id="15"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9E67EB-18D2-411D-8131-2830EFCEDFEE}"/>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9E67EB-18D2-411D-8131-2830EFCEDFEE}"/>
                              </a:ext>
                            </a:extLst>
                          </pic:cNvPr>
                          <pic:cNvPicPr>
                            <a:picLocks noChangeAspect="1"/>
                          </pic:cNvPicPr>
                        </pic:nvPicPr>
                        <pic:blipFill>
                          <a:blip r:embed="rId36"/>
                          <a:stretch>
                            <a:fillRect/>
                          </a:stretch>
                        </pic:blipFill>
                        <pic:spPr>
                          <a:xfrm>
                            <a:off x="0" y="0"/>
                            <a:ext cx="1057275" cy="552450"/>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nil"/>
              <w:left w:val="nil"/>
              <w:bottom w:val="nil"/>
              <w:right w:val="nil"/>
            </w:tcBorders>
            <w:shd w:val="clear" w:color="auto" w:fill="auto"/>
            <w:hideMark/>
          </w:tcPr>
          <w:p w14:paraId="61955B98"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This NPA is an appropriate policy instrument, as measured by the following principles:</w:t>
            </w:r>
          </w:p>
        </w:tc>
      </w:tr>
      <w:tr w:rsidR="00D572D7" w:rsidRPr="00AD1496" w14:paraId="6F88AA2C" w14:textId="77777777" w:rsidTr="00402F27">
        <w:trPr>
          <w:trHeight w:val="480"/>
        </w:trPr>
        <w:tc>
          <w:tcPr>
            <w:tcW w:w="0" w:type="auto"/>
            <w:tcBorders>
              <w:top w:val="nil"/>
              <w:left w:val="nil"/>
              <w:bottom w:val="nil"/>
              <w:right w:val="nil"/>
            </w:tcBorders>
            <w:shd w:val="clear" w:color="auto" w:fill="auto"/>
            <w:noWrap/>
            <w:hideMark/>
          </w:tcPr>
          <w:p w14:paraId="0862A0BD"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4ABD1953"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is closely linked to a current or emerging national objective or expenditure priority of the Commonwealth—for example, addressing Indigenous disadvantage and social inclusion;</w:t>
            </w:r>
          </w:p>
        </w:tc>
        <w:tc>
          <w:tcPr>
            <w:tcW w:w="1276" w:type="dxa"/>
            <w:tcBorders>
              <w:top w:val="nil"/>
              <w:left w:val="nil"/>
              <w:bottom w:val="nil"/>
              <w:right w:val="nil"/>
            </w:tcBorders>
            <w:shd w:val="clear" w:color="auto" w:fill="auto"/>
            <w:noWrap/>
            <w:hideMark/>
          </w:tcPr>
          <w:p w14:paraId="53815480"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2356" w:type="dxa"/>
            <w:vMerge/>
            <w:tcBorders>
              <w:top w:val="nil"/>
              <w:left w:val="nil"/>
              <w:bottom w:val="nil"/>
              <w:right w:val="nil"/>
            </w:tcBorders>
            <w:vAlign w:val="center"/>
            <w:hideMark/>
          </w:tcPr>
          <w:p w14:paraId="23939A0E"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p>
        </w:tc>
        <w:tc>
          <w:tcPr>
            <w:tcW w:w="5550" w:type="dxa"/>
            <w:tcBorders>
              <w:top w:val="nil"/>
              <w:left w:val="nil"/>
              <w:bottom w:val="nil"/>
              <w:right w:val="nil"/>
            </w:tcBorders>
            <w:shd w:val="clear" w:color="auto" w:fill="auto"/>
            <w:hideMark/>
          </w:tcPr>
          <w:p w14:paraId="7089BF9C"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is closely linked to a current or emerging national objective or expenditure priority of the Commonwealth—for example, addressing Indigenous disadvantage and social inclusion;</w:t>
            </w:r>
          </w:p>
        </w:tc>
      </w:tr>
      <w:tr w:rsidR="00D572D7" w:rsidRPr="00AD1496" w14:paraId="10878B84" w14:textId="77777777" w:rsidTr="00402F27">
        <w:trPr>
          <w:trHeight w:val="480"/>
        </w:trPr>
        <w:tc>
          <w:tcPr>
            <w:tcW w:w="0" w:type="auto"/>
            <w:tcBorders>
              <w:top w:val="nil"/>
              <w:left w:val="nil"/>
              <w:bottom w:val="nil"/>
              <w:right w:val="nil"/>
            </w:tcBorders>
            <w:shd w:val="clear" w:color="auto" w:fill="auto"/>
            <w:noWrap/>
            <w:hideMark/>
          </w:tcPr>
          <w:p w14:paraId="68F54667"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249AD754"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has ‘national public good’ characteristics — where the benefits of the involvement extend nationwide; </w:t>
            </w:r>
          </w:p>
        </w:tc>
        <w:tc>
          <w:tcPr>
            <w:tcW w:w="1276" w:type="dxa"/>
            <w:tcBorders>
              <w:top w:val="nil"/>
              <w:left w:val="nil"/>
              <w:bottom w:val="nil"/>
              <w:right w:val="nil"/>
            </w:tcBorders>
            <w:shd w:val="clear" w:color="auto" w:fill="auto"/>
            <w:noWrap/>
            <w:hideMark/>
          </w:tcPr>
          <w:p w14:paraId="6343794C"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2356" w:type="dxa"/>
            <w:tcBorders>
              <w:top w:val="nil"/>
              <w:left w:val="nil"/>
              <w:bottom w:val="nil"/>
              <w:right w:val="nil"/>
            </w:tcBorders>
            <w:shd w:val="clear" w:color="auto" w:fill="auto"/>
            <w:noWrap/>
            <w:hideMark/>
          </w:tcPr>
          <w:p w14:paraId="2E9132E6"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135A76AD"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has ‘national public good’ characteristics — where the benefits of the involvement extend nationwide; </w:t>
            </w:r>
          </w:p>
        </w:tc>
      </w:tr>
      <w:tr w:rsidR="00D572D7" w:rsidRPr="00AD1496" w14:paraId="4314E9AF" w14:textId="77777777" w:rsidTr="00402F27">
        <w:trPr>
          <w:trHeight w:val="312"/>
        </w:trPr>
        <w:tc>
          <w:tcPr>
            <w:tcW w:w="0" w:type="auto"/>
            <w:tcBorders>
              <w:top w:val="nil"/>
              <w:left w:val="nil"/>
              <w:bottom w:val="nil"/>
              <w:right w:val="nil"/>
            </w:tcBorders>
            <w:shd w:val="clear" w:color="auto" w:fill="auto"/>
            <w:noWrap/>
            <w:hideMark/>
          </w:tcPr>
          <w:p w14:paraId="3AFFF110"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07CFCFCD"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has ‘spill over’ benefits that extend beyond the boundaries of a single State or Territory; </w:t>
            </w:r>
          </w:p>
        </w:tc>
        <w:tc>
          <w:tcPr>
            <w:tcW w:w="1276" w:type="dxa"/>
            <w:tcBorders>
              <w:top w:val="nil"/>
              <w:left w:val="nil"/>
              <w:bottom w:val="nil"/>
              <w:right w:val="nil"/>
            </w:tcBorders>
            <w:shd w:val="clear" w:color="auto" w:fill="auto"/>
            <w:noWrap/>
            <w:hideMark/>
          </w:tcPr>
          <w:p w14:paraId="4A63AEE8"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2356" w:type="dxa"/>
            <w:tcBorders>
              <w:top w:val="nil"/>
              <w:left w:val="nil"/>
              <w:bottom w:val="nil"/>
              <w:right w:val="nil"/>
            </w:tcBorders>
            <w:shd w:val="clear" w:color="auto" w:fill="auto"/>
            <w:noWrap/>
            <w:hideMark/>
          </w:tcPr>
          <w:p w14:paraId="6D39E666"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6148DB60"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has ‘spill over’ benefits that extend beyond the boundaries of a single State or Territory.</w:t>
            </w:r>
          </w:p>
        </w:tc>
      </w:tr>
      <w:tr w:rsidR="00D572D7" w:rsidRPr="00AD1496" w14:paraId="18DEDAE7" w14:textId="77777777" w:rsidTr="00402F27">
        <w:trPr>
          <w:trHeight w:val="480"/>
        </w:trPr>
        <w:tc>
          <w:tcPr>
            <w:tcW w:w="0" w:type="auto"/>
            <w:tcBorders>
              <w:top w:val="nil"/>
              <w:left w:val="nil"/>
              <w:bottom w:val="nil"/>
              <w:right w:val="nil"/>
            </w:tcBorders>
            <w:shd w:val="clear" w:color="auto" w:fill="auto"/>
            <w:noWrap/>
            <w:hideMark/>
          </w:tcPr>
          <w:p w14:paraId="1455C96D"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4283" w:type="dxa"/>
            <w:tcBorders>
              <w:top w:val="nil"/>
              <w:left w:val="nil"/>
              <w:bottom w:val="nil"/>
              <w:right w:val="nil"/>
            </w:tcBorders>
            <w:shd w:val="clear" w:color="auto" w:fill="auto"/>
            <w:hideMark/>
          </w:tcPr>
          <w:p w14:paraId="3A1D0ED3"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has a particularly strong impact on aggregate demand or sensitivity to the economic cycle, consistent with the Commonwealth’s macroeconomic management responsibilities; or</w:t>
            </w:r>
          </w:p>
        </w:tc>
        <w:tc>
          <w:tcPr>
            <w:tcW w:w="1276" w:type="dxa"/>
            <w:tcBorders>
              <w:top w:val="nil"/>
              <w:left w:val="nil"/>
              <w:bottom w:val="nil"/>
              <w:right w:val="nil"/>
            </w:tcBorders>
            <w:shd w:val="clear" w:color="auto" w:fill="auto"/>
            <w:noWrap/>
            <w:hideMark/>
          </w:tcPr>
          <w:p w14:paraId="07CE7F49" w14:textId="77777777" w:rsidR="00D572D7" w:rsidRPr="00AD1496" w:rsidRDefault="00D572D7" w:rsidP="0025532A">
            <w:pPr>
              <w:spacing w:after="0" w:line="240" w:lineRule="auto"/>
              <w:ind w:firstLineChars="200" w:firstLine="360"/>
              <w:rPr>
                <w:rFonts w:asciiTheme="majorHAnsi" w:eastAsia="Times New Roman" w:hAnsiTheme="majorHAnsi" w:cstheme="majorHAnsi"/>
                <w:sz w:val="18"/>
                <w:szCs w:val="18"/>
                <w:lang w:eastAsia="en-AU"/>
              </w:rPr>
            </w:pPr>
          </w:p>
        </w:tc>
        <w:tc>
          <w:tcPr>
            <w:tcW w:w="2356" w:type="dxa"/>
            <w:tcBorders>
              <w:top w:val="nil"/>
              <w:left w:val="nil"/>
              <w:bottom w:val="nil"/>
              <w:right w:val="nil"/>
            </w:tcBorders>
            <w:shd w:val="clear" w:color="auto" w:fill="auto"/>
            <w:noWrap/>
            <w:hideMark/>
          </w:tcPr>
          <w:p w14:paraId="17F5C3B4" w14:textId="77777777" w:rsidR="00D572D7" w:rsidRPr="00AD1496" w:rsidRDefault="00D572D7" w:rsidP="0025532A">
            <w:pPr>
              <w:spacing w:after="0" w:line="240" w:lineRule="auto"/>
              <w:rPr>
                <w:rFonts w:asciiTheme="majorHAnsi" w:eastAsia="Times New Roman" w:hAnsiTheme="majorHAnsi" w:cstheme="majorHAnsi"/>
                <w:sz w:val="20"/>
                <w:szCs w:val="20"/>
                <w:lang w:eastAsia="en-AU"/>
              </w:rPr>
            </w:pPr>
          </w:p>
        </w:tc>
        <w:tc>
          <w:tcPr>
            <w:tcW w:w="5550" w:type="dxa"/>
            <w:tcBorders>
              <w:top w:val="nil"/>
              <w:left w:val="nil"/>
              <w:bottom w:val="nil"/>
              <w:right w:val="nil"/>
            </w:tcBorders>
            <w:shd w:val="clear" w:color="auto" w:fill="auto"/>
            <w:hideMark/>
          </w:tcPr>
          <w:p w14:paraId="4A617C00" w14:textId="4E4C65B8" w:rsidR="00D572D7" w:rsidRPr="00AD1496" w:rsidRDefault="00D572D7" w:rsidP="00CC5C3E">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xml:space="preserve">We consider that the above principles would continue to be met should the parties wish to enter into a </w:t>
            </w:r>
            <w:r w:rsidR="00CC5C3E">
              <w:rPr>
                <w:rFonts w:asciiTheme="majorHAnsi" w:eastAsia="Times New Roman" w:hAnsiTheme="majorHAnsi" w:cstheme="majorHAnsi"/>
                <w:sz w:val="18"/>
                <w:szCs w:val="18"/>
                <w:lang w:eastAsia="en-AU"/>
              </w:rPr>
              <w:t>future, similar</w:t>
            </w:r>
            <w:r w:rsidR="00CC5C3E" w:rsidRPr="00AD1496">
              <w:rPr>
                <w:rFonts w:asciiTheme="majorHAnsi" w:eastAsia="Times New Roman" w:hAnsiTheme="majorHAnsi" w:cstheme="majorHAnsi"/>
                <w:sz w:val="18"/>
                <w:szCs w:val="18"/>
                <w:lang w:eastAsia="en-AU"/>
              </w:rPr>
              <w:t xml:space="preserve"> </w:t>
            </w:r>
            <w:r w:rsidRPr="00AD1496">
              <w:rPr>
                <w:rFonts w:asciiTheme="majorHAnsi" w:eastAsia="Times New Roman" w:hAnsiTheme="majorHAnsi" w:cstheme="majorHAnsi"/>
                <w:sz w:val="18"/>
                <w:szCs w:val="18"/>
                <w:lang w:eastAsia="en-AU"/>
              </w:rPr>
              <w:t>NPA in respect of MDB water management.</w:t>
            </w:r>
          </w:p>
        </w:tc>
      </w:tr>
      <w:tr w:rsidR="00D572D7" w:rsidRPr="00AD1496" w14:paraId="3F3393B1" w14:textId="77777777" w:rsidTr="00402F27">
        <w:trPr>
          <w:trHeight w:val="529"/>
        </w:trPr>
        <w:tc>
          <w:tcPr>
            <w:tcW w:w="0" w:type="auto"/>
            <w:tcBorders>
              <w:top w:val="nil"/>
              <w:left w:val="nil"/>
              <w:bottom w:val="single" w:sz="4" w:space="0" w:color="auto"/>
              <w:right w:val="nil"/>
            </w:tcBorders>
            <w:shd w:val="clear" w:color="auto" w:fill="auto"/>
            <w:noWrap/>
            <w:hideMark/>
          </w:tcPr>
          <w:p w14:paraId="38808DA9"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4283" w:type="dxa"/>
            <w:tcBorders>
              <w:top w:val="nil"/>
              <w:left w:val="nil"/>
              <w:bottom w:val="single" w:sz="4" w:space="0" w:color="auto"/>
              <w:right w:val="nil"/>
            </w:tcBorders>
            <w:shd w:val="clear" w:color="auto" w:fill="auto"/>
            <w:hideMark/>
          </w:tcPr>
          <w:p w14:paraId="36C759A6" w14:textId="77777777" w:rsidR="00D572D7" w:rsidRPr="00AD1496" w:rsidRDefault="00D572D7" w:rsidP="0025532A">
            <w:pPr>
              <w:pStyle w:val="ListBullet"/>
              <w:rPr>
                <w:rFonts w:asciiTheme="majorHAnsi" w:hAnsiTheme="majorHAnsi" w:cstheme="majorHAnsi"/>
                <w:sz w:val="18"/>
                <w:lang w:eastAsia="en-AU"/>
              </w:rPr>
            </w:pPr>
            <w:r w:rsidRPr="00AD1496">
              <w:rPr>
                <w:rFonts w:asciiTheme="majorHAnsi" w:hAnsiTheme="majorHAnsi" w:cstheme="majorHAnsi"/>
                <w:sz w:val="18"/>
                <w:lang w:eastAsia="en-AU"/>
              </w:rPr>
              <w:t>addresses a need for harmonisation of policy between the States and Territories to reduce barriers to the movement of capital and labour.</w:t>
            </w:r>
          </w:p>
        </w:tc>
        <w:tc>
          <w:tcPr>
            <w:tcW w:w="1276" w:type="dxa"/>
            <w:tcBorders>
              <w:top w:val="nil"/>
              <w:left w:val="nil"/>
              <w:bottom w:val="single" w:sz="4" w:space="0" w:color="auto"/>
              <w:right w:val="nil"/>
            </w:tcBorders>
            <w:shd w:val="clear" w:color="auto" w:fill="auto"/>
            <w:noWrap/>
            <w:hideMark/>
          </w:tcPr>
          <w:p w14:paraId="18C6F333"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2356" w:type="dxa"/>
            <w:tcBorders>
              <w:top w:val="nil"/>
              <w:left w:val="nil"/>
              <w:bottom w:val="single" w:sz="4" w:space="0" w:color="auto"/>
              <w:right w:val="nil"/>
            </w:tcBorders>
            <w:shd w:val="clear" w:color="auto" w:fill="auto"/>
            <w:noWrap/>
            <w:hideMark/>
          </w:tcPr>
          <w:p w14:paraId="236CA05B"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c>
          <w:tcPr>
            <w:tcW w:w="5550" w:type="dxa"/>
            <w:tcBorders>
              <w:top w:val="nil"/>
              <w:left w:val="nil"/>
              <w:bottom w:val="single" w:sz="4" w:space="0" w:color="auto"/>
              <w:right w:val="nil"/>
            </w:tcBorders>
            <w:shd w:val="clear" w:color="auto" w:fill="auto"/>
            <w:hideMark/>
          </w:tcPr>
          <w:p w14:paraId="195078B6"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 </w:t>
            </w:r>
          </w:p>
        </w:tc>
      </w:tr>
      <w:tr w:rsidR="00D572D7" w:rsidRPr="00AD1496" w14:paraId="7864C490" w14:textId="77777777" w:rsidTr="00402F27">
        <w:trPr>
          <w:trHeight w:val="1080"/>
        </w:trPr>
        <w:tc>
          <w:tcPr>
            <w:tcW w:w="0" w:type="auto"/>
            <w:tcBorders>
              <w:top w:val="nil"/>
              <w:left w:val="nil"/>
              <w:bottom w:val="single" w:sz="4" w:space="0" w:color="auto"/>
              <w:right w:val="nil"/>
            </w:tcBorders>
            <w:shd w:val="clear" w:color="auto" w:fill="auto"/>
            <w:noWrap/>
            <w:hideMark/>
          </w:tcPr>
          <w:p w14:paraId="38B5C245"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E23</w:t>
            </w:r>
          </w:p>
        </w:tc>
        <w:tc>
          <w:tcPr>
            <w:tcW w:w="4283" w:type="dxa"/>
            <w:tcBorders>
              <w:top w:val="nil"/>
              <w:left w:val="nil"/>
              <w:bottom w:val="single" w:sz="4" w:space="0" w:color="auto"/>
              <w:right w:val="nil"/>
            </w:tcBorders>
            <w:shd w:val="clear" w:color="auto" w:fill="auto"/>
            <w:hideMark/>
          </w:tcPr>
          <w:p w14:paraId="2FEAAA28"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National Partnerships are generally expected to have limited time horizons</w:t>
            </w:r>
          </w:p>
        </w:tc>
        <w:tc>
          <w:tcPr>
            <w:tcW w:w="1276" w:type="dxa"/>
            <w:tcBorders>
              <w:top w:val="nil"/>
              <w:left w:val="nil"/>
              <w:bottom w:val="single" w:sz="4" w:space="0" w:color="auto"/>
              <w:right w:val="nil"/>
            </w:tcBorders>
            <w:shd w:val="clear" w:color="auto" w:fill="auto"/>
            <w:hideMark/>
          </w:tcPr>
          <w:p w14:paraId="588E993F" w14:textId="77777777" w:rsidR="00D572D7" w:rsidRPr="00AD1496" w:rsidRDefault="00D572D7" w:rsidP="0025532A">
            <w:pPr>
              <w:spacing w:after="0" w:line="240" w:lineRule="auto"/>
              <w:rPr>
                <w:rFonts w:asciiTheme="majorHAnsi" w:eastAsia="Times New Roman" w:hAnsiTheme="majorHAnsi" w:cstheme="majorHAnsi"/>
                <w:b/>
                <w:bCs/>
                <w:sz w:val="18"/>
                <w:szCs w:val="18"/>
                <w:lang w:eastAsia="en-AU"/>
              </w:rPr>
            </w:pPr>
            <w:r w:rsidRPr="00AD1496">
              <w:rPr>
                <w:rFonts w:asciiTheme="majorHAnsi" w:eastAsia="Times New Roman" w:hAnsiTheme="majorHAnsi" w:cstheme="majorHAnsi"/>
                <w:b/>
                <w:bCs/>
                <w:sz w:val="18"/>
                <w:szCs w:val="18"/>
                <w:lang w:eastAsia="en-AU"/>
              </w:rPr>
              <w:t>Efficient</w:t>
            </w:r>
            <w:r w:rsidRPr="00AD1496">
              <w:rPr>
                <w:rFonts w:asciiTheme="majorHAnsi" w:eastAsia="Times New Roman" w:hAnsiTheme="majorHAnsi" w:cstheme="majorHAnsi"/>
                <w:b/>
                <w:bCs/>
                <w:sz w:val="18"/>
                <w:szCs w:val="18"/>
                <w:lang w:eastAsia="en-AU"/>
              </w:rPr>
              <w:br/>
              <w:t>Appropriate</w:t>
            </w:r>
          </w:p>
        </w:tc>
        <w:tc>
          <w:tcPr>
            <w:tcW w:w="2356" w:type="dxa"/>
            <w:tcBorders>
              <w:top w:val="nil"/>
              <w:left w:val="nil"/>
              <w:bottom w:val="single" w:sz="4" w:space="0" w:color="auto"/>
              <w:right w:val="nil"/>
            </w:tcBorders>
            <w:shd w:val="clear" w:color="auto" w:fill="auto"/>
            <w:noWrap/>
            <w:hideMark/>
          </w:tcPr>
          <w:p w14:paraId="7199E21F"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noProof/>
                <w:sz w:val="18"/>
                <w:szCs w:val="18"/>
                <w:lang w:eastAsia="en-AU"/>
              </w:rPr>
              <w:drawing>
                <wp:anchor distT="0" distB="0" distL="114300" distR="114300" simplePos="0" relativeHeight="251666432" behindDoc="0" locked="0" layoutInCell="1" allowOverlap="1" wp14:anchorId="0FF07484" wp14:editId="16B2B7B5">
                  <wp:simplePos x="0" y="0"/>
                  <wp:positionH relativeFrom="column">
                    <wp:posOffset>47625</wp:posOffset>
                  </wp:positionH>
                  <wp:positionV relativeFrom="paragraph">
                    <wp:posOffset>47625</wp:posOffset>
                  </wp:positionV>
                  <wp:extent cx="1057275" cy="542925"/>
                  <wp:effectExtent l="0" t="0" r="0" b="9525"/>
                  <wp:wrapNone/>
                  <wp:docPr id="14" name="Pictur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6B366-3F82-4236-AE47-15D654008081}"/>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6B366-3F82-4236-AE47-15D654008081}"/>
                              </a:ext>
                            </a:extLst>
                          </pic:cNvPr>
                          <pic:cNvPicPr>
                            <a:picLocks noChangeAspect="1"/>
                          </pic:cNvPicPr>
                        </pic:nvPicPr>
                        <pic:blipFill>
                          <a:blip r:embed="rId36"/>
                          <a:stretch>
                            <a:fillRect/>
                          </a:stretch>
                        </pic:blipFill>
                        <pic:spPr>
                          <a:xfrm>
                            <a:off x="0" y="0"/>
                            <a:ext cx="1060796" cy="548688"/>
                          </a:xfrm>
                          <a:prstGeom prst="rect">
                            <a:avLst/>
                          </a:prstGeom>
                        </pic:spPr>
                      </pic:pic>
                    </a:graphicData>
                  </a:graphic>
                  <wp14:sizeRelH relativeFrom="page">
                    <wp14:pctWidth>0</wp14:pctWidth>
                  </wp14:sizeRelH>
                  <wp14:sizeRelV relativeFrom="page">
                    <wp14:pctHeight>0</wp14:pctHeight>
                  </wp14:sizeRelV>
                </wp:anchor>
              </w:drawing>
            </w:r>
          </w:p>
        </w:tc>
        <w:tc>
          <w:tcPr>
            <w:tcW w:w="5550" w:type="dxa"/>
            <w:tcBorders>
              <w:top w:val="nil"/>
              <w:left w:val="nil"/>
              <w:bottom w:val="single" w:sz="4" w:space="0" w:color="auto"/>
              <w:right w:val="nil"/>
            </w:tcBorders>
            <w:shd w:val="clear" w:color="auto" w:fill="auto"/>
            <w:hideMark/>
          </w:tcPr>
          <w:p w14:paraId="3784B01B" w14:textId="77777777" w:rsidR="00D572D7" w:rsidRPr="00AD1496" w:rsidRDefault="00D572D7" w:rsidP="0025532A">
            <w:pPr>
              <w:spacing w:after="0" w:line="240" w:lineRule="auto"/>
              <w:rPr>
                <w:rFonts w:asciiTheme="majorHAnsi" w:eastAsia="Times New Roman" w:hAnsiTheme="majorHAnsi" w:cstheme="majorHAnsi"/>
                <w:sz w:val="18"/>
                <w:szCs w:val="18"/>
                <w:lang w:eastAsia="en-AU"/>
              </w:rPr>
            </w:pPr>
            <w:r w:rsidRPr="00AD1496">
              <w:rPr>
                <w:rFonts w:asciiTheme="majorHAnsi" w:eastAsia="Times New Roman" w:hAnsiTheme="majorHAnsi" w:cstheme="majorHAnsi"/>
                <w:sz w:val="18"/>
                <w:szCs w:val="18"/>
                <w:lang w:eastAsia="en-AU"/>
              </w:rPr>
              <w:t>This NPA is quite long at 7 years. Nevertheless, we consider that reasonable as it covers the period from settling the Basin Plan and SDL adjustment to the final year of implementing the Basin Plan and compliant water resource plans. Any shorter period would have been inconsistent with the objectives and inappropriate.</w:t>
            </w:r>
          </w:p>
        </w:tc>
      </w:tr>
    </w:tbl>
    <w:p w14:paraId="4CD5B076" w14:textId="77777777" w:rsidR="00D572D7" w:rsidRPr="00AD1496" w:rsidRDefault="00D572D7" w:rsidP="00D572D7">
      <w:pPr>
        <w:rPr>
          <w:rFonts w:asciiTheme="majorHAnsi" w:hAnsiTheme="majorHAnsi" w:cstheme="majorHAnsi"/>
        </w:rPr>
      </w:pPr>
    </w:p>
    <w:p w14:paraId="3CDF8B4A" w14:textId="77777777" w:rsidR="00D572D7" w:rsidRPr="00AD1496" w:rsidRDefault="00D572D7" w:rsidP="00D572D7">
      <w:pPr>
        <w:rPr>
          <w:rFonts w:asciiTheme="majorHAnsi" w:hAnsiTheme="majorHAnsi" w:cstheme="majorHAnsi"/>
        </w:rPr>
      </w:pPr>
    </w:p>
    <w:p w14:paraId="66EF695A" w14:textId="77777777" w:rsidR="00D572D7" w:rsidRPr="00AD1496" w:rsidRDefault="00D572D7" w:rsidP="00D572D7">
      <w:pPr>
        <w:rPr>
          <w:rFonts w:asciiTheme="majorHAnsi" w:hAnsiTheme="majorHAnsi" w:cstheme="majorHAnsi"/>
        </w:rPr>
      </w:pPr>
    </w:p>
    <w:p w14:paraId="09A988E0" w14:textId="77777777" w:rsidR="00D572D7" w:rsidRPr="00AD1496" w:rsidRDefault="00D572D7" w:rsidP="00D572D7">
      <w:pPr>
        <w:rPr>
          <w:rFonts w:asciiTheme="majorHAnsi" w:hAnsiTheme="majorHAnsi" w:cstheme="majorHAnsi"/>
        </w:rPr>
      </w:pPr>
    </w:p>
    <w:p w14:paraId="47F4B16C" w14:textId="77777777" w:rsidR="00C33880" w:rsidRPr="00AD1496" w:rsidRDefault="00C33880" w:rsidP="00644AA2">
      <w:pPr>
        <w:rPr>
          <w:rFonts w:asciiTheme="majorHAnsi" w:hAnsiTheme="majorHAnsi" w:cstheme="majorHAnsi"/>
        </w:rPr>
        <w:sectPr w:rsidR="00C33880" w:rsidRPr="00AD1496" w:rsidSect="00C33880">
          <w:pgSz w:w="16838" w:h="11906" w:orient="landscape" w:code="9"/>
          <w:pgMar w:top="1418" w:right="1418" w:bottom="1418" w:left="1418" w:header="567" w:footer="567" w:gutter="0"/>
          <w:cols w:space="708"/>
          <w:docGrid w:linePitch="360"/>
        </w:sectPr>
      </w:pPr>
    </w:p>
    <w:p w14:paraId="114750FB" w14:textId="77777777" w:rsidR="00266A91" w:rsidRPr="00AD1496" w:rsidRDefault="00266A91" w:rsidP="007A065E">
      <w:pPr>
        <w:pStyle w:val="Appendix"/>
        <w:rPr>
          <w:rFonts w:asciiTheme="majorHAnsi" w:hAnsiTheme="majorHAnsi" w:cstheme="majorHAnsi"/>
        </w:rPr>
      </w:pPr>
      <w:bookmarkStart w:id="89" w:name="_Ref14083916"/>
      <w:bookmarkStart w:id="90" w:name="_Toc33700625"/>
      <w:r w:rsidRPr="00AD1496">
        <w:rPr>
          <w:rFonts w:asciiTheme="majorHAnsi" w:hAnsiTheme="majorHAnsi" w:cstheme="majorHAnsi"/>
        </w:rPr>
        <w:lastRenderedPageBreak/>
        <w:t>Best practice for NPAs</w:t>
      </w:r>
      <w:bookmarkEnd w:id="88"/>
      <w:bookmarkEnd w:id="89"/>
      <w:bookmarkEnd w:id="90"/>
    </w:p>
    <w:p w14:paraId="77FA715E" w14:textId="77777777" w:rsidR="00873380" w:rsidRPr="00AD1496" w:rsidRDefault="00873380" w:rsidP="00B148CB">
      <w:pPr>
        <w:rPr>
          <w:rFonts w:asciiTheme="majorHAnsi" w:hAnsiTheme="majorHAnsi" w:cstheme="majorHAnsi"/>
        </w:rPr>
      </w:pPr>
      <w:r w:rsidRPr="00AD1496">
        <w:rPr>
          <w:rFonts w:asciiTheme="majorHAnsi" w:hAnsiTheme="majorHAnsi" w:cstheme="majorHAnsi"/>
        </w:rPr>
        <w:t>Extensive documentation on the framework for federal financial relations is provided by COAG and the Council on Federal Financial Relations (CFFR)—a key body established by the COAG to oversee all aspects of the financial relationship between the Commonwealth and the States and Territories. The CFFR is comprised of the Commonwealth Treasurer as Chair and the State and Territory Treasurers.</w:t>
      </w:r>
    </w:p>
    <w:p w14:paraId="5DDC083A" w14:textId="77777777" w:rsidR="00873380" w:rsidRPr="00AD1496" w:rsidRDefault="00873380" w:rsidP="00B148CB">
      <w:pPr>
        <w:rPr>
          <w:rFonts w:asciiTheme="majorHAnsi" w:hAnsiTheme="majorHAnsi" w:cstheme="majorHAnsi"/>
        </w:rPr>
      </w:pPr>
      <w:r w:rsidRPr="00AD1496">
        <w:rPr>
          <w:rFonts w:asciiTheme="majorHAnsi" w:hAnsiTheme="majorHAnsi" w:cstheme="majorHAnsi"/>
        </w:rPr>
        <w:t xml:space="preserve">The framework for the Commonwealth's financial relations with the States and Territories is detailed in the </w:t>
      </w:r>
      <w:r w:rsidRPr="00AD1496">
        <w:rPr>
          <w:rFonts w:asciiTheme="majorHAnsi" w:hAnsiTheme="majorHAnsi" w:cstheme="majorHAnsi"/>
          <w:i/>
        </w:rPr>
        <w:t>Intergovernmental Agreement on Federal Financial Relations</w:t>
      </w:r>
      <w:r w:rsidRPr="00AD1496">
        <w:rPr>
          <w:rFonts w:asciiTheme="majorHAnsi" w:hAnsiTheme="majorHAnsi" w:cstheme="majorHAnsi"/>
        </w:rPr>
        <w:t xml:space="preserve"> and supporting guidelines.</w:t>
      </w:r>
    </w:p>
    <w:p w14:paraId="5D347442" w14:textId="77777777" w:rsidR="00873380" w:rsidRPr="00AD1496" w:rsidRDefault="00873380" w:rsidP="00873380">
      <w:pPr>
        <w:rPr>
          <w:rFonts w:asciiTheme="majorHAnsi" w:hAnsiTheme="majorHAnsi" w:cstheme="majorHAnsi"/>
        </w:rPr>
      </w:pPr>
      <w:r w:rsidRPr="00AD1496">
        <w:rPr>
          <w:rFonts w:asciiTheme="majorHAnsi" w:hAnsiTheme="majorHAnsi" w:cstheme="majorHAnsi"/>
        </w:rPr>
        <w:t>COAG mandates the following principles in the Intergovernmental Agreement:</w:t>
      </w:r>
    </w:p>
    <w:p w14:paraId="405CE3FD"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lastRenderedPageBreak/>
        <w:t>The Commonwealth will provide National Partnership payments to the States and Territories to support the delivery of specified projects, to facilitate reforms or to reward those jurisdictions that deliver on national reforms or achieve service delivery improvements (clause E19):</w:t>
      </w:r>
    </w:p>
    <w:p w14:paraId="46A33CD9"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National Partnership </w:t>
      </w:r>
      <w:r w:rsidRPr="00AD1496">
        <w:rPr>
          <w:rFonts w:asciiTheme="majorHAnsi" w:hAnsiTheme="majorHAnsi" w:cstheme="majorHAnsi"/>
          <w:u w:val="single"/>
        </w:rPr>
        <w:t>project payments</w:t>
      </w:r>
      <w:r w:rsidRPr="00AD1496">
        <w:rPr>
          <w:rFonts w:asciiTheme="majorHAnsi" w:hAnsiTheme="majorHAnsi" w:cstheme="majorHAnsi"/>
        </w:rPr>
        <w:t xml:space="preserve"> support national objectives and provide a financial contribution to the States and Territories to deliver specific projects.</w:t>
      </w:r>
    </w:p>
    <w:p w14:paraId="7F6225CC"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National Partnership </w:t>
      </w:r>
      <w:r w:rsidRPr="00AD1496">
        <w:rPr>
          <w:rFonts w:asciiTheme="majorHAnsi" w:hAnsiTheme="majorHAnsi" w:cstheme="majorHAnsi"/>
          <w:u w:val="single"/>
        </w:rPr>
        <w:t>facilitation payments</w:t>
      </w:r>
      <w:r w:rsidRPr="00AD1496">
        <w:rPr>
          <w:rFonts w:asciiTheme="majorHAnsi" w:hAnsiTheme="majorHAnsi" w:cstheme="majorHAnsi"/>
        </w:rPr>
        <w:t xml:space="preserve"> may be paid in advance of the States and Territories implementing a reform, in recognition of administrative and other costs of undertaking the reform.</w:t>
      </w:r>
    </w:p>
    <w:p w14:paraId="7351028F"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National Partnership </w:t>
      </w:r>
      <w:r w:rsidRPr="00AD1496">
        <w:rPr>
          <w:rFonts w:asciiTheme="majorHAnsi" w:hAnsiTheme="majorHAnsi" w:cstheme="majorHAnsi"/>
          <w:u w:val="single"/>
        </w:rPr>
        <w:t>incentive payments</w:t>
      </w:r>
      <w:r w:rsidRPr="00AD1496">
        <w:rPr>
          <w:rFonts w:asciiTheme="majorHAnsi" w:hAnsiTheme="majorHAnsi" w:cstheme="majorHAnsi"/>
        </w:rPr>
        <w:t xml:space="preserve"> will be provided to reward the States and Territories which deliver reform progress or continuous improvement in service delivery.</w:t>
      </w:r>
    </w:p>
    <w:p w14:paraId="05DC271B" w14:textId="77777777"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t xml:space="preserve">These payments will be structured in a way that encourages the achievement of ambitious milestones or performance benchmarks. </w:t>
      </w:r>
    </w:p>
    <w:p w14:paraId="69D4F3B9" w14:textId="77777777"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lastRenderedPageBreak/>
        <w:t>Graduated benchmarks may be specified in NPAs to provide that States receive some proportion of funding for an activity that has not fully achieved the reform or service delivery objectives but has resulted in partial attainment of the agreed outcomes.</w:t>
      </w:r>
    </w:p>
    <w:p w14:paraId="2996F3E6" w14:textId="7A3E9398"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t xml:space="preserve">National Partnerships should set out clear, mutually agreed and ambitious performance benchmarks that can be </w:t>
      </w:r>
      <w:r w:rsidR="00A45E92" w:rsidRPr="00AD1496">
        <w:rPr>
          <w:rFonts w:asciiTheme="majorHAnsi" w:hAnsiTheme="majorHAnsi" w:cstheme="majorHAnsi"/>
        </w:rPr>
        <w:t>assessed by</w:t>
      </w:r>
      <w:r w:rsidRPr="00AD1496">
        <w:rPr>
          <w:rFonts w:asciiTheme="majorHAnsi" w:hAnsiTheme="majorHAnsi" w:cstheme="majorHAnsi"/>
        </w:rPr>
        <w:t xml:space="preserve"> the COAG Reform Council. These should be structured in a way that encourages the achievement of ambitious reform targets and continuous improvement in service delivery, and provide better outcomes than would otherwise be expected.</w:t>
      </w:r>
    </w:p>
    <w:p w14:paraId="1F17836B"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t xml:space="preserve">Payments classified as Commonwealth own-purpose expenses are the only intergovernmental financial transfers which are not covered by these payment arrangements (clause D3). </w:t>
      </w:r>
    </w:p>
    <w:p w14:paraId="64195093"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t xml:space="preserve">Where Commonwealth own-purpose expenses and State own-purpose expenses directly contribute to the objectives, outcomes and outputs of a National Partnership </w:t>
      </w:r>
      <w:r w:rsidRPr="00AD1496">
        <w:rPr>
          <w:rFonts w:asciiTheme="majorHAnsi" w:hAnsiTheme="majorHAnsi" w:cstheme="majorHAnsi"/>
        </w:rPr>
        <w:lastRenderedPageBreak/>
        <w:t>agreement, estimates should be included in that National Partnership, even if it does not involve financial transfers between the Commonwealth and the States, for example in areas of significant policy collaboration (clause D4).</w:t>
      </w:r>
    </w:p>
    <w:p w14:paraId="3A34F3CA"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t>Where the achievement of pre-determined milestones or performance benchmarks is required before a payment is made to a State or Territory (clause D35):</w:t>
      </w:r>
    </w:p>
    <w:p w14:paraId="1C7964CD" w14:textId="77777777" w:rsidR="00873380" w:rsidRPr="00AD1496" w:rsidRDefault="00873380" w:rsidP="003C21E9">
      <w:pPr>
        <w:spacing w:after="0"/>
        <w:ind w:left="720"/>
        <w:rPr>
          <w:rFonts w:asciiTheme="majorHAnsi" w:hAnsiTheme="majorHAnsi" w:cstheme="majorHAnsi"/>
        </w:rPr>
      </w:pPr>
      <w:r w:rsidRPr="00AD1496">
        <w:rPr>
          <w:rFonts w:asciiTheme="majorHAnsi" w:hAnsiTheme="majorHAnsi" w:cstheme="majorHAnsi"/>
        </w:rPr>
        <w:t xml:space="preserve">(a) in the case of </w:t>
      </w:r>
      <w:r w:rsidRPr="00AD1496">
        <w:rPr>
          <w:rFonts w:asciiTheme="majorHAnsi" w:hAnsiTheme="majorHAnsi" w:cstheme="majorHAnsi"/>
          <w:u w:val="single"/>
        </w:rPr>
        <w:t>reward payments</w:t>
      </w:r>
      <w:r w:rsidRPr="00AD1496">
        <w:rPr>
          <w:rFonts w:asciiTheme="majorHAnsi" w:hAnsiTheme="majorHAnsi" w:cstheme="majorHAnsi"/>
        </w:rPr>
        <w:t xml:space="preserve"> that provide an incentive for States and Territories to implement nationally significant reforms or service delivery improvements, and as soon as possible following receipt of a recommendation from the COAG Reform Council as to whether a pre-determined performance benchmark has been achieved, the Commonwealth will consider that recommendation and the Commonwealth Treasurer will make a determination as to whether all or part of the reward payment will be paid; </w:t>
      </w:r>
    </w:p>
    <w:p w14:paraId="781CCCD5" w14:textId="77777777" w:rsidR="00873380" w:rsidRPr="00AD1496" w:rsidRDefault="00873380" w:rsidP="00873380">
      <w:pPr>
        <w:ind w:left="720"/>
        <w:rPr>
          <w:rFonts w:asciiTheme="majorHAnsi" w:hAnsiTheme="majorHAnsi" w:cstheme="majorHAnsi"/>
        </w:rPr>
      </w:pPr>
      <w:r w:rsidRPr="00AD1496">
        <w:rPr>
          <w:rFonts w:asciiTheme="majorHAnsi" w:hAnsiTheme="majorHAnsi" w:cstheme="majorHAnsi"/>
        </w:rPr>
        <w:t xml:space="preserve">(e) in the case of </w:t>
      </w:r>
      <w:r w:rsidRPr="00AD1496">
        <w:rPr>
          <w:rFonts w:asciiTheme="majorHAnsi" w:hAnsiTheme="majorHAnsi" w:cstheme="majorHAnsi"/>
          <w:u w:val="single"/>
        </w:rPr>
        <w:t>facilitation and project payments</w:t>
      </w:r>
      <w:r w:rsidRPr="00AD1496">
        <w:rPr>
          <w:rFonts w:asciiTheme="majorHAnsi" w:hAnsiTheme="majorHAnsi" w:cstheme="majorHAnsi"/>
        </w:rPr>
        <w:t xml:space="preserve">, the Commonwealth Treasurer will make a determination, </w:t>
      </w:r>
      <w:r w:rsidRPr="00AD1496">
        <w:rPr>
          <w:rFonts w:asciiTheme="majorHAnsi" w:hAnsiTheme="majorHAnsi" w:cstheme="majorHAnsi"/>
        </w:rPr>
        <w:lastRenderedPageBreak/>
        <w:t>based upon funding and performance reporting arrangements set out in the National Partnership and as authorised by the relevant Commonwealth Minister or delegate, as to whether the facilitation or project payment will be paid; and</w:t>
      </w:r>
    </w:p>
    <w:p w14:paraId="03EB08B6"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t xml:space="preserve">The following principles guide the basis of Commonwealth support for a national reform or service delivery improvement in areas of state or territory responsibility (clause E21), where it: </w:t>
      </w:r>
    </w:p>
    <w:p w14:paraId="6AB9CF02"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is closely linked to a current or emerging national objective or expenditure priority of the Commonwealth — for example, addressing Indigenous disadvantage and social inclusion;</w:t>
      </w:r>
    </w:p>
    <w:p w14:paraId="754775F6"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has ‘national public good’ characteristics — where the benefits of the involvement extend nationwide; </w:t>
      </w:r>
    </w:p>
    <w:p w14:paraId="51855055"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has ‘spill over’ benefits that extend beyond the boundaries of a single State or Territory; </w:t>
      </w:r>
    </w:p>
    <w:p w14:paraId="0267B15D"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 xml:space="preserve">has a particularly strong impact on aggregate demand or sensitivity to the economic cycle, consistent with the Commonwealth’s </w:t>
      </w:r>
      <w:r w:rsidR="00A45E92" w:rsidRPr="00AD1496">
        <w:rPr>
          <w:rFonts w:asciiTheme="majorHAnsi" w:hAnsiTheme="majorHAnsi" w:cstheme="majorHAnsi"/>
        </w:rPr>
        <w:t>macroeconomic</w:t>
      </w:r>
      <w:r w:rsidRPr="00AD1496">
        <w:rPr>
          <w:rFonts w:asciiTheme="majorHAnsi" w:hAnsiTheme="majorHAnsi" w:cstheme="majorHAnsi"/>
        </w:rPr>
        <w:t xml:space="preserve"> management responsibilities; or</w:t>
      </w:r>
    </w:p>
    <w:p w14:paraId="5F0BE026"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lastRenderedPageBreak/>
        <w:t>addresses a need for harmonisation of policy between the States and Territories to reduce barriers to the movement of capital and labour.</w:t>
      </w:r>
    </w:p>
    <w:p w14:paraId="65A307D1"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t>National Partnerships are generally expected to have limited time horizons (clause E23). On delivery of the particular initiative which is subject to a National Partnership payment:</w:t>
      </w:r>
    </w:p>
    <w:p w14:paraId="3A6FD0FE"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funding would cease because the project, output or reform has been delivered; or</w:t>
      </w:r>
    </w:p>
    <w:p w14:paraId="6EB1619C" w14:textId="77777777" w:rsidR="00873380" w:rsidRPr="00AD1496" w:rsidRDefault="00873380" w:rsidP="00873380">
      <w:pPr>
        <w:pStyle w:val="Listdashlevel2"/>
        <w:rPr>
          <w:rFonts w:asciiTheme="majorHAnsi" w:hAnsiTheme="majorHAnsi" w:cstheme="majorHAnsi"/>
        </w:rPr>
      </w:pPr>
      <w:r w:rsidRPr="00AD1496">
        <w:rPr>
          <w:rFonts w:asciiTheme="majorHAnsi" w:hAnsiTheme="majorHAnsi" w:cstheme="majorHAnsi"/>
        </w:rPr>
        <w:t>where on-going funding is required to maintain a new level of output, such funding may more appropriately be provided through the relevant National SPP Agreement or general revenue assistance.</w:t>
      </w:r>
    </w:p>
    <w:p w14:paraId="25FA8680" w14:textId="63711167" w:rsidR="00873380" w:rsidRPr="00AD1496" w:rsidRDefault="00873380" w:rsidP="003C21E9">
      <w:pPr>
        <w:pStyle w:val="ListBullet"/>
        <w:spacing w:after="240"/>
        <w:rPr>
          <w:rFonts w:asciiTheme="majorHAnsi" w:hAnsiTheme="majorHAnsi" w:cstheme="majorHAnsi"/>
        </w:rPr>
      </w:pPr>
      <w:r w:rsidRPr="00AD1496">
        <w:rPr>
          <w:rFonts w:asciiTheme="majorHAnsi" w:hAnsiTheme="majorHAnsi" w:cstheme="majorHAnsi"/>
        </w:rPr>
        <w:t xml:space="preserve">National Partnership reward payments would not be paid to a State or Territory until an independent assessment by the COAG Reform Council demonstrates that performance benchmarks have been achieved (clause E24). </w:t>
      </w:r>
    </w:p>
    <w:p w14:paraId="727AB3BB" w14:textId="77777777" w:rsidR="00873380" w:rsidRPr="00AD1496" w:rsidRDefault="00873380" w:rsidP="00873380">
      <w:pPr>
        <w:rPr>
          <w:rFonts w:asciiTheme="majorHAnsi" w:hAnsiTheme="majorHAnsi" w:cstheme="majorHAnsi"/>
        </w:rPr>
      </w:pPr>
      <w:r w:rsidRPr="00AD1496">
        <w:rPr>
          <w:rFonts w:asciiTheme="majorHAnsi" w:hAnsiTheme="majorHAnsi" w:cstheme="majorHAnsi"/>
        </w:rPr>
        <w:t>In addition, COAG mandates that, to the fullest extent possible, NPAs will be aligned with the following principles (clause E22):</w:t>
      </w:r>
    </w:p>
    <w:p w14:paraId="684DFB9A" w14:textId="77777777" w:rsidR="00873380" w:rsidRPr="00AD1496" w:rsidRDefault="00873380" w:rsidP="00873380">
      <w:pPr>
        <w:pStyle w:val="ListBullet"/>
        <w:rPr>
          <w:rFonts w:asciiTheme="majorHAnsi" w:hAnsiTheme="majorHAnsi" w:cstheme="majorHAnsi"/>
        </w:rPr>
      </w:pPr>
      <w:r w:rsidRPr="00AD1496">
        <w:rPr>
          <w:rFonts w:asciiTheme="majorHAnsi" w:hAnsiTheme="majorHAnsi" w:cstheme="majorHAnsi"/>
        </w:rPr>
        <w:lastRenderedPageBreak/>
        <w:t>Objectives, outcomes and outputs:</w:t>
      </w:r>
    </w:p>
    <w:p w14:paraId="12BA27BA"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NPAs will detail the mutually agreed objectives, outcomes and outputs being pursued by the Commonwealth and the States and Territories (clause E8).</w:t>
      </w:r>
    </w:p>
    <w:p w14:paraId="0A92C9D0"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NPAs should be clear and specific as far as practicable in terms of outcomes to be achieved (clause E9). National Agreements may also include outputs to describe the services being delivered to achieve outcomes, as a way to broadly define roles and responsibilities, and to capture contributions to outcomes, particularly where outcomes themselves are difficult to measure or isolate.</w:t>
      </w:r>
    </w:p>
    <w:p w14:paraId="3C54EFBA"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Agreed outcomes and outputs should be specific and measurable and related to agreed objectives (clause E10).</w:t>
      </w:r>
    </w:p>
    <w:p w14:paraId="217D9122" w14:textId="77777777" w:rsidR="00873380" w:rsidRPr="00AD1496" w:rsidRDefault="00873380" w:rsidP="00A45E92">
      <w:pPr>
        <w:pStyle w:val="ListBullet"/>
        <w:rPr>
          <w:rFonts w:asciiTheme="majorHAnsi" w:hAnsiTheme="majorHAnsi" w:cstheme="majorHAnsi"/>
        </w:rPr>
      </w:pPr>
      <w:r w:rsidRPr="00AD1496">
        <w:rPr>
          <w:rFonts w:asciiTheme="majorHAnsi" w:hAnsiTheme="majorHAnsi" w:cstheme="majorHAnsi"/>
        </w:rPr>
        <w:t>Roles and responsibilities:</w:t>
      </w:r>
    </w:p>
    <w:p w14:paraId="693581AB"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National Agreements will contain a broad statement on the roles of each government (clause E11), thereby helping to:</w:t>
      </w:r>
    </w:p>
    <w:p w14:paraId="44BC5F6D" w14:textId="77777777"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t xml:space="preserve">clarify the responsibilities of each level of government; </w:t>
      </w:r>
    </w:p>
    <w:p w14:paraId="09A5BE6E" w14:textId="77777777"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lastRenderedPageBreak/>
        <w:t>provide a clear link between roles and responsibilities and public accountability for those agreed roles and responsibilities; and</w:t>
      </w:r>
    </w:p>
    <w:p w14:paraId="36872FAB" w14:textId="77777777" w:rsidR="00873380" w:rsidRPr="00AD1496" w:rsidRDefault="00873380" w:rsidP="00644AA2">
      <w:pPr>
        <w:numPr>
          <w:ilvl w:val="1"/>
          <w:numId w:val="18"/>
        </w:numPr>
        <w:spacing w:after="0"/>
        <w:rPr>
          <w:rFonts w:asciiTheme="majorHAnsi" w:hAnsiTheme="majorHAnsi" w:cstheme="majorHAnsi"/>
        </w:rPr>
      </w:pPr>
      <w:r w:rsidRPr="00AD1496">
        <w:rPr>
          <w:rFonts w:asciiTheme="majorHAnsi" w:hAnsiTheme="majorHAnsi" w:cstheme="majorHAnsi"/>
        </w:rPr>
        <w:t xml:space="preserve">frame shared accountability for outcomes. </w:t>
      </w:r>
    </w:p>
    <w:p w14:paraId="7B3C8550"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National Agreements will be explicit as to the roles and responsibilities of the Commonwealth and States and Territories to avoid any unnecessary and costly duplication of functions between different levels of government (clause E12).</w:t>
      </w:r>
    </w:p>
    <w:p w14:paraId="5BD3583B" w14:textId="77777777" w:rsidR="00873380" w:rsidRPr="00AD1496" w:rsidRDefault="00873380" w:rsidP="00A45E92">
      <w:pPr>
        <w:pStyle w:val="ListBullet"/>
        <w:rPr>
          <w:rFonts w:asciiTheme="majorHAnsi" w:hAnsiTheme="majorHAnsi" w:cstheme="majorHAnsi"/>
        </w:rPr>
      </w:pPr>
      <w:r w:rsidRPr="00AD1496">
        <w:rPr>
          <w:rFonts w:asciiTheme="majorHAnsi" w:hAnsiTheme="majorHAnsi" w:cstheme="majorHAnsi"/>
        </w:rPr>
        <w:t>Performance indicators:</w:t>
      </w:r>
    </w:p>
    <w:p w14:paraId="55ECA72C" w14:textId="77777777" w:rsidR="00873380" w:rsidRPr="00AD1496" w:rsidRDefault="00873380" w:rsidP="00A45E92">
      <w:pPr>
        <w:pStyle w:val="Listdashlevel2"/>
        <w:rPr>
          <w:rFonts w:asciiTheme="majorHAnsi" w:hAnsiTheme="majorHAnsi" w:cstheme="majorHAnsi"/>
        </w:rPr>
      </w:pPr>
      <w:r w:rsidRPr="00AD1496">
        <w:rPr>
          <w:rFonts w:asciiTheme="majorHAnsi" w:hAnsiTheme="majorHAnsi" w:cstheme="majorHAnsi"/>
        </w:rPr>
        <w:t>National Agreements will specify performance indicators to enhance public accountability (clause E13). Performance indicators, in conjunction with clear roles and responsibilities, inform the community about how each government is progressing towards achieving the mutually agreed objectives, outcomes and outputs.</w:t>
      </w:r>
    </w:p>
    <w:p w14:paraId="72D637B8" w14:textId="77777777" w:rsidR="00266A91" w:rsidRPr="00AD1496" w:rsidRDefault="00266A91">
      <w:pPr>
        <w:spacing w:after="0" w:line="240" w:lineRule="auto"/>
        <w:rPr>
          <w:rFonts w:asciiTheme="majorHAnsi" w:eastAsia="Times New Roman" w:hAnsiTheme="majorHAnsi" w:cstheme="majorHAnsi"/>
          <w:b/>
          <w:bCs/>
          <w:color w:val="FFFFFF" w:themeColor="background1"/>
          <w:sz w:val="40"/>
          <w:szCs w:val="28"/>
        </w:rPr>
      </w:pPr>
      <w:r w:rsidRPr="00AD1496">
        <w:rPr>
          <w:rFonts w:asciiTheme="majorHAnsi" w:hAnsiTheme="majorHAnsi" w:cstheme="majorHAnsi"/>
        </w:rPr>
        <w:br w:type="page"/>
      </w:r>
    </w:p>
    <w:p w14:paraId="1F248DE6" w14:textId="77777777" w:rsidR="00266A91" w:rsidRPr="00AD1496" w:rsidRDefault="00266A91" w:rsidP="007A065E">
      <w:pPr>
        <w:pStyle w:val="Appendix"/>
        <w:rPr>
          <w:rFonts w:asciiTheme="majorHAnsi" w:hAnsiTheme="majorHAnsi" w:cstheme="majorHAnsi"/>
        </w:rPr>
      </w:pPr>
      <w:bookmarkStart w:id="91" w:name="_Ref14082235"/>
      <w:bookmarkStart w:id="92" w:name="_Toc33700626"/>
      <w:r w:rsidRPr="00AD1496">
        <w:rPr>
          <w:rFonts w:asciiTheme="majorHAnsi" w:hAnsiTheme="majorHAnsi" w:cstheme="majorHAnsi"/>
        </w:rPr>
        <w:lastRenderedPageBreak/>
        <w:t>Documents reviewed</w:t>
      </w:r>
      <w:bookmarkEnd w:id="91"/>
      <w:bookmarkEnd w:id="92"/>
    </w:p>
    <w:p w14:paraId="5864745D" w14:textId="77777777" w:rsidR="00873380" w:rsidRPr="00AD1496" w:rsidRDefault="00873380" w:rsidP="00873380">
      <w:pPr>
        <w:rPr>
          <w:rFonts w:asciiTheme="majorHAnsi" w:hAnsiTheme="majorHAnsi" w:cstheme="majorHAnsi"/>
        </w:rPr>
      </w:pPr>
      <w:r w:rsidRPr="00AD1496">
        <w:rPr>
          <w:rFonts w:asciiTheme="majorHAnsi" w:hAnsiTheme="majorHAnsi" w:cstheme="majorHAnsi"/>
        </w:rPr>
        <w:t>In total, 171 documents were reviewed. Documents reviewed were from each year of the NPA. The table below lists all documents reviewed under the subfolders into which they were organised. Most documents related to the Department’s annual assessments.</w:t>
      </w:r>
    </w:p>
    <w:tbl>
      <w:tblPr>
        <w:tblW w:w="88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60"/>
        <w:gridCol w:w="8760"/>
        <w:gridCol w:w="60"/>
      </w:tblGrid>
      <w:tr w:rsidR="00266A91" w:rsidRPr="00AD1496" w14:paraId="0C6F2B53" w14:textId="77777777" w:rsidTr="00A0394B">
        <w:trPr>
          <w:gridBefore w:val="1"/>
          <w:wBefore w:w="60" w:type="dxa"/>
          <w:trHeight w:val="420"/>
        </w:trPr>
        <w:tc>
          <w:tcPr>
            <w:tcW w:w="8820" w:type="dxa"/>
            <w:gridSpan w:val="2"/>
            <w:tcBorders>
              <w:top w:val="single" w:sz="8" w:space="0" w:color="08193E"/>
              <w:left w:val="nil"/>
              <w:bottom w:val="single" w:sz="8" w:space="0" w:color="EEECE1"/>
              <w:right w:val="nil"/>
            </w:tcBorders>
            <w:shd w:val="clear" w:color="auto" w:fill="08193E"/>
            <w:tcMar>
              <w:top w:w="120" w:type="dxa"/>
              <w:left w:w="60" w:type="dxa"/>
              <w:bottom w:w="60" w:type="dxa"/>
              <w:right w:w="60" w:type="dxa"/>
            </w:tcMar>
          </w:tcPr>
          <w:p w14:paraId="20D0FC63" w14:textId="77777777" w:rsidR="00266A91" w:rsidRPr="00AD1496" w:rsidRDefault="00266A91" w:rsidP="00266A91">
            <w:pPr>
              <w:spacing w:after="0"/>
              <w:ind w:left="60"/>
              <w:rPr>
                <w:rFonts w:asciiTheme="majorHAnsi" w:hAnsiTheme="majorHAnsi" w:cstheme="majorHAnsi"/>
                <w:b/>
                <w:sz w:val="20"/>
                <w:szCs w:val="20"/>
              </w:rPr>
            </w:pPr>
            <w:r w:rsidRPr="00AD1496">
              <w:rPr>
                <w:rFonts w:asciiTheme="majorHAnsi" w:hAnsiTheme="majorHAnsi" w:cstheme="majorHAnsi"/>
                <w:b/>
                <w:sz w:val="20"/>
                <w:szCs w:val="20"/>
              </w:rPr>
              <w:t>Document review files</w:t>
            </w:r>
          </w:p>
        </w:tc>
      </w:tr>
      <w:tr w:rsidR="00266A91" w:rsidRPr="00AD1496" w14:paraId="2036DEFB" w14:textId="77777777" w:rsidTr="00A0394B">
        <w:trPr>
          <w:gridBefore w:val="1"/>
          <w:wBefore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45671FAC" w14:textId="77777777" w:rsidR="00266A91" w:rsidRPr="00AD1496" w:rsidRDefault="00266A91" w:rsidP="00266A91">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ANAO (and PC reviews)</w:t>
            </w:r>
          </w:p>
        </w:tc>
      </w:tr>
      <w:tr w:rsidR="00266A91" w:rsidRPr="00AD1496" w14:paraId="64BA5262" w14:textId="77777777" w:rsidTr="00A0394B">
        <w:trPr>
          <w:gridBefore w:val="1"/>
          <w:wBefore w:w="60" w:type="dxa"/>
          <w:trHeight w:val="40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4150052" w14:textId="77777777" w:rsidR="00266A91" w:rsidRPr="00AD1496" w:rsidRDefault="00266A91" w:rsidP="00266A91">
            <w:pPr>
              <w:spacing w:after="0" w:line="276" w:lineRule="auto"/>
              <w:ind w:left="60"/>
              <w:rPr>
                <w:rFonts w:asciiTheme="majorHAnsi" w:hAnsiTheme="majorHAnsi" w:cstheme="majorHAnsi"/>
                <w:sz w:val="20"/>
                <w:szCs w:val="20"/>
              </w:rPr>
            </w:pPr>
            <w:r w:rsidRPr="00AD1496">
              <w:rPr>
                <w:rFonts w:asciiTheme="majorHAnsi" w:hAnsiTheme="majorHAnsi" w:cstheme="majorHAnsi"/>
                <w:sz w:val="20"/>
                <w:szCs w:val="20"/>
              </w:rPr>
              <w:t>ANAO assurance review of NSW protection and use of environmental water in the MDB</w:t>
            </w:r>
          </w:p>
        </w:tc>
      </w:tr>
      <w:tr w:rsidR="00266A91" w:rsidRPr="00AD1496" w14:paraId="5E0C5EED"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5AF75889"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ANAO performance audit of NPA monitoring &amp; payment arrangements 2017-2018</w:t>
            </w:r>
          </w:p>
        </w:tc>
      </w:tr>
      <w:tr w:rsidR="00266A91" w:rsidRPr="00AD1496" w14:paraId="489A7298"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BA29E2A" w14:textId="57BD9CA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Department's response to </w:t>
            </w:r>
            <w:r w:rsidR="00526E18" w:rsidRPr="00AD1496">
              <w:rPr>
                <w:rFonts w:asciiTheme="majorHAnsi" w:hAnsiTheme="majorHAnsi" w:cstheme="majorHAnsi"/>
                <w:sz w:val="20"/>
                <w:szCs w:val="20"/>
              </w:rPr>
              <w:t xml:space="preserve">the </w:t>
            </w:r>
            <w:r w:rsidRPr="00AD1496">
              <w:rPr>
                <w:rFonts w:asciiTheme="majorHAnsi" w:hAnsiTheme="majorHAnsi" w:cstheme="majorHAnsi"/>
                <w:sz w:val="20"/>
                <w:szCs w:val="20"/>
              </w:rPr>
              <w:t>ANAO performance audit</w:t>
            </w:r>
          </w:p>
        </w:tc>
      </w:tr>
      <w:tr w:rsidR="00266A91" w:rsidRPr="00AD1496" w14:paraId="5892F641"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82B1A0B" w14:textId="5611FA9D" w:rsidR="00266A91" w:rsidRPr="00AD1496" w:rsidRDefault="00266A91" w:rsidP="00526E18">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Department's </w:t>
            </w:r>
            <w:r w:rsidR="00A45E92" w:rsidRPr="00AD1496">
              <w:rPr>
                <w:rFonts w:asciiTheme="majorHAnsi" w:hAnsiTheme="majorHAnsi" w:cstheme="majorHAnsi"/>
                <w:sz w:val="20"/>
                <w:szCs w:val="20"/>
              </w:rPr>
              <w:t>response</w:t>
            </w:r>
            <w:r w:rsidRPr="00AD1496">
              <w:rPr>
                <w:rFonts w:asciiTheme="majorHAnsi" w:hAnsiTheme="majorHAnsi" w:cstheme="majorHAnsi"/>
                <w:sz w:val="20"/>
                <w:szCs w:val="20"/>
              </w:rPr>
              <w:t xml:space="preserve"> to the </w:t>
            </w:r>
            <w:r w:rsidR="00526E18" w:rsidRPr="00AD1496">
              <w:rPr>
                <w:rFonts w:asciiTheme="majorHAnsi" w:hAnsiTheme="majorHAnsi" w:cstheme="majorHAnsi"/>
                <w:sz w:val="20"/>
                <w:szCs w:val="20"/>
              </w:rPr>
              <w:t xml:space="preserve">ANAO </w:t>
            </w:r>
            <w:r w:rsidRPr="00AD1496">
              <w:rPr>
                <w:rFonts w:asciiTheme="majorHAnsi" w:hAnsiTheme="majorHAnsi" w:cstheme="majorHAnsi"/>
                <w:sz w:val="20"/>
                <w:szCs w:val="20"/>
              </w:rPr>
              <w:t>assurance review</w:t>
            </w:r>
          </w:p>
        </w:tc>
      </w:tr>
      <w:tr w:rsidR="00266A91" w:rsidRPr="00AD1496" w14:paraId="64A3D372"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8FE08C9"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Extract from PC inquiry </w:t>
            </w:r>
            <w:r w:rsidR="00A45E92" w:rsidRPr="00AD1496">
              <w:rPr>
                <w:rFonts w:asciiTheme="majorHAnsi" w:hAnsiTheme="majorHAnsi" w:cstheme="majorHAnsi"/>
                <w:sz w:val="20"/>
                <w:szCs w:val="20"/>
              </w:rPr>
              <w:t>relevant</w:t>
            </w:r>
            <w:r w:rsidRPr="00AD1496">
              <w:rPr>
                <w:rFonts w:asciiTheme="majorHAnsi" w:hAnsiTheme="majorHAnsi" w:cstheme="majorHAnsi"/>
                <w:sz w:val="20"/>
                <w:szCs w:val="20"/>
              </w:rPr>
              <w:t xml:space="preserve"> to NPA</w:t>
            </w:r>
          </w:p>
        </w:tc>
      </w:tr>
      <w:tr w:rsidR="00266A91" w:rsidRPr="00AD1496" w14:paraId="4C6A7B2E" w14:textId="77777777" w:rsidTr="00A0394B">
        <w:trPr>
          <w:gridBefore w:val="1"/>
          <w:wBefore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7BF3A0BD" w14:textId="77777777" w:rsidR="00266A91" w:rsidRPr="00AD1496" w:rsidRDefault="00266A91" w:rsidP="00266A91">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Final Review Terms of Reference</w:t>
            </w:r>
          </w:p>
        </w:tc>
      </w:tr>
      <w:tr w:rsidR="00266A91" w:rsidRPr="00AD1496" w14:paraId="40A68F00" w14:textId="77777777" w:rsidTr="00A0394B">
        <w:trPr>
          <w:gridBefore w:val="1"/>
          <w:wBefore w:w="60" w:type="dxa"/>
          <w:trHeight w:val="40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C046BC1" w14:textId="77777777" w:rsidR="00266A91" w:rsidRPr="00AD1496" w:rsidRDefault="00266A91" w:rsidP="00266A91">
            <w:pPr>
              <w:spacing w:after="0" w:line="276" w:lineRule="auto"/>
              <w:ind w:left="60"/>
              <w:rPr>
                <w:rFonts w:asciiTheme="majorHAnsi" w:hAnsiTheme="majorHAnsi" w:cstheme="majorHAnsi"/>
                <w:sz w:val="20"/>
                <w:szCs w:val="20"/>
              </w:rPr>
            </w:pPr>
            <w:r w:rsidRPr="00AD1496">
              <w:rPr>
                <w:rFonts w:asciiTheme="majorHAnsi" w:hAnsiTheme="majorHAnsi" w:cstheme="majorHAnsi"/>
                <w:sz w:val="20"/>
                <w:szCs w:val="20"/>
              </w:rPr>
              <w:lastRenderedPageBreak/>
              <w:t>NSW and Vic comments on ToR for NPA final review</w:t>
            </w:r>
          </w:p>
        </w:tc>
      </w:tr>
      <w:tr w:rsidR="00266A91" w:rsidRPr="00AD1496" w14:paraId="3FE9027D"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50C8BC34"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Terms of Reference for the NPA final review</w:t>
            </w:r>
          </w:p>
        </w:tc>
      </w:tr>
      <w:tr w:rsidR="00266A91" w:rsidRPr="00AD1496" w14:paraId="5728A6C9" w14:textId="77777777" w:rsidTr="00A0394B">
        <w:trPr>
          <w:gridBefore w:val="1"/>
          <w:wBefore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691148F4" w14:textId="77777777" w:rsidR="00266A91" w:rsidRPr="00AD1496" w:rsidRDefault="00266A91" w:rsidP="00266A91">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MDBA Compliance Review and Compact</w:t>
            </w:r>
          </w:p>
        </w:tc>
      </w:tr>
      <w:tr w:rsidR="00266A91" w:rsidRPr="00AD1496" w14:paraId="262376D2" w14:textId="77777777" w:rsidTr="00A0394B">
        <w:trPr>
          <w:gridBefore w:val="1"/>
          <w:wBefore w:w="60" w:type="dxa"/>
          <w:trHeight w:val="40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4D93474F" w14:textId="77777777" w:rsidR="00266A91" w:rsidRPr="00AD1496" w:rsidRDefault="00266A91" w:rsidP="00266A91">
            <w:pPr>
              <w:spacing w:after="0" w:line="276" w:lineRule="auto"/>
              <w:ind w:left="60"/>
              <w:rPr>
                <w:rFonts w:asciiTheme="majorHAnsi" w:hAnsiTheme="majorHAnsi" w:cstheme="majorHAnsi"/>
                <w:sz w:val="20"/>
                <w:szCs w:val="20"/>
              </w:rPr>
            </w:pPr>
            <w:r w:rsidRPr="00AD1496">
              <w:rPr>
                <w:rFonts w:asciiTheme="majorHAnsi" w:hAnsiTheme="majorHAnsi" w:cstheme="majorHAnsi"/>
                <w:sz w:val="20"/>
                <w:szCs w:val="20"/>
              </w:rPr>
              <w:t>Basin-Compliance- Compact-12-December-2018</w:t>
            </w:r>
          </w:p>
        </w:tc>
      </w:tr>
      <w:tr w:rsidR="00266A91" w:rsidRPr="00AD1496" w14:paraId="34875F1D"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99216F4"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MDB-Compliance-Review-Final-Report</w:t>
            </w:r>
          </w:p>
        </w:tc>
      </w:tr>
      <w:tr w:rsidR="00266A91" w:rsidRPr="00AD1496" w14:paraId="0EABB01E" w14:textId="77777777" w:rsidTr="00A0394B">
        <w:trPr>
          <w:gridBefore w:val="1"/>
          <w:wBefore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4858B885" w14:textId="77777777" w:rsidR="00266A91" w:rsidRPr="00AD1496" w:rsidRDefault="00266A91" w:rsidP="00266A91">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NPA mid-term review</w:t>
            </w:r>
          </w:p>
        </w:tc>
      </w:tr>
      <w:tr w:rsidR="00266A91" w:rsidRPr="00AD1496" w14:paraId="1640EEFF"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tcPr>
          <w:p w14:paraId="6B9034A8"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NPA mid-term review - final report August 2017</w:t>
            </w:r>
          </w:p>
        </w:tc>
      </w:tr>
      <w:tr w:rsidR="00266A91" w:rsidRPr="00AD1496" w14:paraId="04BB18B2" w14:textId="77777777" w:rsidTr="00A0394B">
        <w:trPr>
          <w:gridBefore w:val="1"/>
          <w:wBefore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541D57B8" w14:textId="77777777" w:rsidR="00266A91" w:rsidRPr="00AD1496" w:rsidRDefault="00266A91" w:rsidP="00266A91">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NPA, IGA and other key docs</w:t>
            </w:r>
          </w:p>
        </w:tc>
      </w:tr>
      <w:tr w:rsidR="00266A91" w:rsidRPr="00AD1496" w14:paraId="105AAD76" w14:textId="77777777" w:rsidTr="00A0394B">
        <w:trPr>
          <w:gridBefore w:val="1"/>
          <w:wBefore w:w="60" w:type="dxa"/>
          <w:trHeight w:val="40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8AF18E4" w14:textId="77777777" w:rsidR="00266A91" w:rsidRPr="00AD1496" w:rsidRDefault="00266A91" w:rsidP="00266A91">
            <w:pPr>
              <w:spacing w:after="0" w:line="276" w:lineRule="auto"/>
              <w:ind w:left="60"/>
              <w:rPr>
                <w:rFonts w:asciiTheme="majorHAnsi" w:hAnsiTheme="majorHAnsi" w:cstheme="majorHAnsi"/>
                <w:sz w:val="20"/>
                <w:szCs w:val="20"/>
              </w:rPr>
            </w:pPr>
            <w:r w:rsidRPr="00AD1496">
              <w:rPr>
                <w:rFonts w:asciiTheme="majorHAnsi" w:hAnsiTheme="majorHAnsi" w:cstheme="majorHAnsi"/>
                <w:sz w:val="20"/>
                <w:szCs w:val="20"/>
              </w:rPr>
              <w:t>IGA on Federal Financial Relations</w:t>
            </w:r>
          </w:p>
        </w:tc>
      </w:tr>
      <w:tr w:rsidR="00266A91" w:rsidRPr="00AD1496" w14:paraId="531BF655"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1BD380D" w14:textId="006663F0" w:rsidR="00266A91" w:rsidRPr="00AD1496" w:rsidRDefault="00266A91" w:rsidP="00BB65EB">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IGA on Implementing Water Reform in the MDB (revised </w:t>
            </w:r>
            <w:r w:rsidR="00BB65EB" w:rsidRPr="00AD1496">
              <w:rPr>
                <w:rFonts w:asciiTheme="majorHAnsi" w:hAnsiTheme="majorHAnsi" w:cstheme="majorHAnsi"/>
                <w:sz w:val="20"/>
                <w:szCs w:val="20"/>
              </w:rPr>
              <w:t xml:space="preserve">2015, 2016, </w:t>
            </w:r>
            <w:r w:rsidRPr="00AD1496">
              <w:rPr>
                <w:rFonts w:asciiTheme="majorHAnsi" w:hAnsiTheme="majorHAnsi" w:cstheme="majorHAnsi"/>
                <w:sz w:val="20"/>
                <w:szCs w:val="20"/>
              </w:rPr>
              <w:t>2017</w:t>
            </w:r>
            <w:r w:rsidR="00BB65EB" w:rsidRPr="00AD1496">
              <w:rPr>
                <w:rFonts w:asciiTheme="majorHAnsi" w:hAnsiTheme="majorHAnsi" w:cstheme="majorHAnsi"/>
                <w:sz w:val="20"/>
                <w:szCs w:val="20"/>
              </w:rPr>
              <w:t xml:space="preserve"> and 2019</w:t>
            </w:r>
            <w:r w:rsidRPr="00AD1496">
              <w:rPr>
                <w:rFonts w:asciiTheme="majorHAnsi" w:hAnsiTheme="majorHAnsi" w:cstheme="majorHAnsi"/>
                <w:sz w:val="20"/>
                <w:szCs w:val="20"/>
              </w:rPr>
              <w:t>)</w:t>
            </w:r>
          </w:p>
        </w:tc>
      </w:tr>
      <w:tr w:rsidR="00266A91" w:rsidRPr="00AD1496" w14:paraId="2DA67267"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2C5E9C7" w14:textId="77777777"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NPA on Implementing Water Reform in the MDB</w:t>
            </w:r>
          </w:p>
        </w:tc>
      </w:tr>
      <w:tr w:rsidR="00266A91" w:rsidRPr="00AD1496" w14:paraId="6BD0E1E4" w14:textId="77777777" w:rsidTr="00A0394B">
        <w:trPr>
          <w:gridBefore w:val="1"/>
          <w:wBefore w:w="60" w:type="dxa"/>
          <w:trHeight w:val="40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57F9DAD" w14:textId="77777777" w:rsidR="00266A91" w:rsidRPr="00AD1496" w:rsidRDefault="00266A91" w:rsidP="00266A91">
            <w:pPr>
              <w:spacing w:after="0" w:line="276" w:lineRule="auto"/>
              <w:ind w:left="60"/>
              <w:rPr>
                <w:rFonts w:asciiTheme="majorHAnsi" w:hAnsiTheme="majorHAnsi" w:cstheme="majorHAnsi"/>
                <w:sz w:val="20"/>
                <w:szCs w:val="20"/>
              </w:rPr>
            </w:pPr>
            <w:r w:rsidRPr="00AD1496">
              <w:rPr>
                <w:rFonts w:asciiTheme="majorHAnsi" w:hAnsiTheme="majorHAnsi" w:cstheme="majorHAnsi"/>
                <w:sz w:val="20"/>
                <w:szCs w:val="20"/>
              </w:rPr>
              <w:t>NPA Schedule B - Variation to the Agreement</w:t>
            </w:r>
          </w:p>
        </w:tc>
      </w:tr>
      <w:tr w:rsidR="00266A91" w:rsidRPr="00AD1496" w14:paraId="37431191" w14:textId="77777777" w:rsidTr="00A0394B">
        <w:trPr>
          <w:gridBefore w:val="1"/>
          <w:wBefore w:w="60" w:type="dxa"/>
          <w:trHeight w:val="58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4776E52F" w14:textId="09CB9440"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Payments to Basin</w:t>
            </w:r>
            <w:r w:rsidR="00901671" w:rsidRPr="00AD1496">
              <w:rPr>
                <w:rFonts w:asciiTheme="majorHAnsi" w:hAnsiTheme="majorHAnsi" w:cstheme="majorHAnsi"/>
                <w:sz w:val="20"/>
                <w:szCs w:val="20"/>
              </w:rPr>
              <w:t xml:space="preserve"> States </w:t>
            </w:r>
            <w:r w:rsidRPr="00AD1496">
              <w:rPr>
                <w:rFonts w:asciiTheme="majorHAnsi" w:hAnsiTheme="majorHAnsi" w:cstheme="majorHAnsi"/>
                <w:sz w:val="20"/>
                <w:szCs w:val="20"/>
              </w:rPr>
              <w:t>under the NPA on Implementing Water Reform in the Murray-Darling Basin - 2018 assessment summary</w:t>
            </w:r>
          </w:p>
        </w:tc>
      </w:tr>
      <w:tr w:rsidR="00266A91" w:rsidRPr="00AD1496" w14:paraId="5DB98D55"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C2F4D6A" w14:textId="03B58F36"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FFR circular 2015-01 Developing National Partnerships under the FFR framework</w:t>
            </w:r>
          </w:p>
        </w:tc>
      </w:tr>
      <w:tr w:rsidR="00266A91" w:rsidRPr="00AD1496" w14:paraId="0B0CC324"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26FEE11" w14:textId="6743C895"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FFR </w:t>
            </w:r>
            <w:r w:rsidR="007162E5" w:rsidRPr="00AD1496">
              <w:rPr>
                <w:rFonts w:asciiTheme="majorHAnsi" w:hAnsiTheme="majorHAnsi" w:cstheme="majorHAnsi"/>
                <w:sz w:val="20"/>
                <w:szCs w:val="20"/>
              </w:rPr>
              <w:t>S</w:t>
            </w:r>
            <w:r w:rsidRPr="00AD1496">
              <w:rPr>
                <w:rFonts w:asciiTheme="majorHAnsi" w:hAnsiTheme="majorHAnsi" w:cstheme="majorHAnsi"/>
                <w:sz w:val="20"/>
                <w:szCs w:val="20"/>
              </w:rPr>
              <w:t>hort guide to reviewing National Partnerships</w:t>
            </w:r>
          </w:p>
        </w:tc>
      </w:tr>
      <w:tr w:rsidR="00266A91" w:rsidRPr="00AD1496" w14:paraId="3906EC51" w14:textId="77777777" w:rsidTr="00A0394B">
        <w:trPr>
          <w:gridBefore w:val="1"/>
          <w:wBefore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3A70211" w14:textId="2E72DE49" w:rsidR="00266A91" w:rsidRPr="00AD1496" w:rsidRDefault="00266A91" w:rsidP="00266A91">
            <w:pPr>
              <w:spacing w:after="0"/>
              <w:ind w:left="60"/>
              <w:rPr>
                <w:rFonts w:asciiTheme="majorHAnsi" w:hAnsiTheme="majorHAnsi" w:cstheme="majorHAnsi"/>
                <w:sz w:val="20"/>
                <w:szCs w:val="20"/>
              </w:rPr>
            </w:pPr>
            <w:r w:rsidRPr="00AD1496">
              <w:rPr>
                <w:rFonts w:asciiTheme="majorHAnsi" w:hAnsiTheme="majorHAnsi" w:cstheme="majorHAnsi"/>
                <w:sz w:val="20"/>
                <w:szCs w:val="20"/>
              </w:rPr>
              <w:t>FFR</w:t>
            </w:r>
            <w:r w:rsidR="007162E5" w:rsidRPr="00AD1496">
              <w:rPr>
                <w:rFonts w:asciiTheme="majorHAnsi" w:hAnsiTheme="majorHAnsi" w:cstheme="majorHAnsi"/>
                <w:sz w:val="20"/>
                <w:szCs w:val="20"/>
              </w:rPr>
              <w:t>’s</w:t>
            </w:r>
            <w:r w:rsidRPr="00AD1496">
              <w:rPr>
                <w:rFonts w:asciiTheme="majorHAnsi" w:hAnsiTheme="majorHAnsi" w:cstheme="majorHAnsi"/>
                <w:sz w:val="20"/>
                <w:szCs w:val="20"/>
              </w:rPr>
              <w:t xml:space="preserve"> </w:t>
            </w:r>
            <w:r w:rsidR="007162E5" w:rsidRPr="00AD1496">
              <w:rPr>
                <w:rFonts w:asciiTheme="majorHAnsi" w:hAnsiTheme="majorHAnsi" w:cstheme="majorHAnsi"/>
                <w:sz w:val="20"/>
                <w:szCs w:val="20"/>
              </w:rPr>
              <w:t>S</w:t>
            </w:r>
            <w:r w:rsidRPr="00AD1496">
              <w:rPr>
                <w:rFonts w:asciiTheme="majorHAnsi" w:hAnsiTheme="majorHAnsi" w:cstheme="majorHAnsi"/>
                <w:sz w:val="20"/>
                <w:szCs w:val="20"/>
              </w:rPr>
              <w:t>hort guide to the IGA on FFRs</w:t>
            </w:r>
            <w:r w:rsidR="007162E5" w:rsidRPr="00AD1496">
              <w:rPr>
                <w:rFonts w:asciiTheme="majorHAnsi" w:hAnsiTheme="majorHAnsi" w:cstheme="majorHAnsi"/>
                <w:sz w:val="20"/>
                <w:szCs w:val="20"/>
              </w:rPr>
              <w:t xml:space="preserve"> and the federal financial relations framework</w:t>
            </w:r>
          </w:p>
        </w:tc>
      </w:tr>
      <w:tr w:rsidR="00A0394B" w:rsidRPr="00AD1496" w14:paraId="2258AE3A"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54F050CD"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lastRenderedPageBreak/>
              <w:t>2012-13</w:t>
            </w:r>
          </w:p>
        </w:tc>
      </w:tr>
      <w:tr w:rsidR="00CD61D1" w:rsidRPr="00AD1496" w14:paraId="0C721635"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D8FB079" w14:textId="77777777" w:rsidR="00CD61D1" w:rsidRPr="00AD1496" w:rsidRDefault="00CD61D1"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NSW &amp; Qld Statement of Assurances</w:t>
            </w:r>
          </w:p>
        </w:tc>
      </w:tr>
      <w:tr w:rsidR="00A0394B" w:rsidRPr="00AD1496" w14:paraId="64ACD24D"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F20B42C"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MDBA advice to NWC</w:t>
            </w:r>
          </w:p>
        </w:tc>
      </w:tr>
      <w:tr w:rsidR="00A0394B" w:rsidRPr="00AD1496" w14:paraId="63E4C5AE"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550CB767"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Draft NPA assessment provided to each state for comment</w:t>
            </w:r>
          </w:p>
        </w:tc>
      </w:tr>
      <w:tr w:rsidR="00A0394B" w:rsidRPr="00AD1496" w14:paraId="0FCF3A9F"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5A808731" w14:textId="6800E0F6"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NPA assessment</w:t>
            </w:r>
            <w:r w:rsidR="00CD61D1" w:rsidRPr="00AD1496">
              <w:rPr>
                <w:rFonts w:asciiTheme="majorHAnsi" w:hAnsiTheme="majorHAnsi" w:cstheme="majorHAnsi"/>
                <w:sz w:val="20"/>
                <w:szCs w:val="20"/>
              </w:rPr>
              <w:t xml:space="preserve"> by NWC</w:t>
            </w:r>
          </w:p>
        </w:tc>
      </w:tr>
      <w:tr w:rsidR="00A0394B" w:rsidRPr="00AD1496" w14:paraId="7D74159F"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5EB91554"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2013-14</w:t>
            </w:r>
          </w:p>
        </w:tc>
      </w:tr>
      <w:tr w:rsidR="00A0394B" w:rsidRPr="00AD1496" w14:paraId="4E58F02A"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96E7A5B"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Statement of Assurances</w:t>
            </w:r>
          </w:p>
        </w:tc>
      </w:tr>
      <w:tr w:rsidR="00A0394B" w:rsidRPr="00AD1496" w14:paraId="080874EB"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450265CE"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NPA assessment by NWC</w:t>
            </w:r>
          </w:p>
        </w:tc>
      </w:tr>
      <w:tr w:rsidR="00A0394B" w:rsidRPr="00AD1496" w14:paraId="30C94A4E"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477A101F"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2014-15</w:t>
            </w:r>
          </w:p>
        </w:tc>
      </w:tr>
      <w:tr w:rsidR="00A0394B" w:rsidRPr="00AD1496" w14:paraId="2B8B814F"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7420A22"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w:t>
            </w:r>
            <w:r w:rsidRPr="00AD1496">
              <w:rPr>
                <w:rFonts w:asciiTheme="majorHAnsi" w:hAnsiTheme="majorHAnsi" w:cstheme="majorHAnsi"/>
                <w:sz w:val="20"/>
                <w:szCs w:val="20"/>
              </w:rPr>
              <w:lastRenderedPageBreak/>
              <w:t>Statement of Assurances</w:t>
            </w:r>
          </w:p>
        </w:tc>
      </w:tr>
      <w:tr w:rsidR="00A0394B" w:rsidRPr="00AD1496" w14:paraId="0B12D7E7"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1EC8E11"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Additional information provided by each state to be included in the NPA assessment</w:t>
            </w:r>
          </w:p>
        </w:tc>
      </w:tr>
      <w:tr w:rsidR="007B6AEE" w:rsidRPr="00AD1496" w14:paraId="6B8E07A9"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1CE89ED" w14:textId="77777777" w:rsidR="007B6AEE" w:rsidRPr="00AD1496" w:rsidRDefault="007B6AEE"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CEWO and MDBA advice on each state’s performance</w:t>
            </w:r>
          </w:p>
        </w:tc>
      </w:tr>
      <w:tr w:rsidR="00CD61D1" w:rsidRPr="00AD1496" w14:paraId="5A125363"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560B526" w14:textId="15872C8A" w:rsidR="00CD61D1" w:rsidRPr="00AD1496" w:rsidRDefault="00CD61D1" w:rsidP="00CD61D1">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w:t>
            </w:r>
            <w:r w:rsidR="00192B1D" w:rsidRPr="00AD1496">
              <w:rPr>
                <w:rFonts w:asciiTheme="majorHAnsi" w:hAnsiTheme="majorHAnsi" w:cstheme="majorHAnsi"/>
                <w:sz w:val="20"/>
                <w:szCs w:val="20"/>
              </w:rPr>
              <w:t>D</w:t>
            </w:r>
            <w:r w:rsidRPr="00AD1496">
              <w:rPr>
                <w:rFonts w:asciiTheme="majorHAnsi" w:hAnsiTheme="majorHAnsi" w:cstheme="majorHAnsi"/>
                <w:sz w:val="20"/>
                <w:szCs w:val="20"/>
              </w:rPr>
              <w:t>raft NPA assessments</w:t>
            </w:r>
          </w:p>
        </w:tc>
      </w:tr>
      <w:tr w:rsidR="00A0394B" w:rsidRPr="00AD1496" w14:paraId="063400B8"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CF17575"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comments on Draft NPA assessment</w:t>
            </w:r>
          </w:p>
        </w:tc>
      </w:tr>
      <w:tr w:rsidR="00A0394B" w:rsidRPr="00AD1496" w14:paraId="35E709FB"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40C4606" w14:textId="7DC45FB4"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Clarification emails from</w:t>
            </w:r>
            <w:r w:rsidR="00901671" w:rsidRPr="00AD1496">
              <w:rPr>
                <w:rFonts w:asciiTheme="majorHAnsi" w:hAnsiTheme="majorHAnsi" w:cstheme="majorHAnsi"/>
                <w:sz w:val="20"/>
                <w:szCs w:val="20"/>
              </w:rPr>
              <w:t xml:space="preserve"> States </w:t>
            </w:r>
            <w:r w:rsidRPr="00AD1496">
              <w:rPr>
                <w:rFonts w:asciiTheme="majorHAnsi" w:hAnsiTheme="majorHAnsi" w:cstheme="majorHAnsi"/>
                <w:sz w:val="20"/>
                <w:szCs w:val="20"/>
              </w:rPr>
              <w:t xml:space="preserve">re their </w:t>
            </w:r>
            <w:r w:rsidR="00192B1D" w:rsidRPr="00AD1496">
              <w:rPr>
                <w:rFonts w:asciiTheme="majorHAnsi" w:hAnsiTheme="majorHAnsi" w:cstheme="majorHAnsi"/>
                <w:sz w:val="20"/>
                <w:szCs w:val="20"/>
              </w:rPr>
              <w:t>d</w:t>
            </w:r>
            <w:r w:rsidRPr="00AD1496">
              <w:rPr>
                <w:rFonts w:asciiTheme="majorHAnsi" w:hAnsiTheme="majorHAnsi" w:cstheme="majorHAnsi"/>
                <w:sz w:val="20"/>
                <w:szCs w:val="20"/>
              </w:rPr>
              <w:t>raft assessment</w:t>
            </w:r>
          </w:p>
        </w:tc>
      </w:tr>
      <w:tr w:rsidR="00A0394B" w:rsidRPr="00AD1496" w14:paraId="6C803B4A"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761582A"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Final NPA assessment</w:t>
            </w:r>
          </w:p>
        </w:tc>
      </w:tr>
      <w:tr w:rsidR="00A0394B" w:rsidRPr="00AD1496" w14:paraId="676C4C41"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0E6F85CA"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lastRenderedPageBreak/>
              <w:t>2015-16</w:t>
            </w:r>
          </w:p>
        </w:tc>
      </w:tr>
      <w:tr w:rsidR="00A0394B" w:rsidRPr="00AD1496" w14:paraId="3F0F0B1E"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EDC9364"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Statement of Assurances</w:t>
            </w:r>
          </w:p>
        </w:tc>
      </w:tr>
      <w:tr w:rsidR="00CD61D1" w:rsidRPr="00AD1496" w14:paraId="552E3E5F"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71B162B" w14:textId="77777777" w:rsidR="00CD61D1" w:rsidRPr="00AD1496" w:rsidRDefault="00CD61D1"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Additional information provided by each state to be included in the NPA assessment</w:t>
            </w:r>
          </w:p>
        </w:tc>
      </w:tr>
      <w:tr w:rsidR="007B6AEE" w:rsidRPr="00AD1496" w14:paraId="07C9571D"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723E9B4" w14:textId="77777777" w:rsidR="007B6AEE" w:rsidRPr="00AD1496" w:rsidRDefault="007B6AEE"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CEWO and MDBA advice on each state’s performance</w:t>
            </w:r>
          </w:p>
        </w:tc>
      </w:tr>
      <w:tr w:rsidR="00CD61D1" w:rsidRPr="00AD1496" w14:paraId="2387E47F"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A135A9D" w14:textId="08177525" w:rsidR="00CD61D1" w:rsidRPr="00AD1496" w:rsidRDefault="00CD61D1"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w:t>
            </w:r>
            <w:r w:rsidR="00192B1D" w:rsidRPr="00AD1496">
              <w:rPr>
                <w:rFonts w:asciiTheme="majorHAnsi" w:hAnsiTheme="majorHAnsi" w:cstheme="majorHAnsi"/>
                <w:sz w:val="20"/>
                <w:szCs w:val="20"/>
              </w:rPr>
              <w:t>D</w:t>
            </w:r>
            <w:r w:rsidRPr="00AD1496">
              <w:rPr>
                <w:rFonts w:asciiTheme="majorHAnsi" w:hAnsiTheme="majorHAnsi" w:cstheme="majorHAnsi"/>
                <w:sz w:val="20"/>
                <w:szCs w:val="20"/>
              </w:rPr>
              <w:t>raft NPA assessments</w:t>
            </w:r>
          </w:p>
        </w:tc>
      </w:tr>
      <w:tr w:rsidR="00A0394B" w:rsidRPr="00AD1496" w14:paraId="534D03AC"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F2A42AF" w14:textId="7A2989D1"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Clarification emails from</w:t>
            </w:r>
            <w:r w:rsidR="00901671" w:rsidRPr="00AD1496">
              <w:rPr>
                <w:rFonts w:asciiTheme="majorHAnsi" w:hAnsiTheme="majorHAnsi" w:cstheme="majorHAnsi"/>
                <w:sz w:val="20"/>
                <w:szCs w:val="20"/>
              </w:rPr>
              <w:t xml:space="preserve"> States </w:t>
            </w:r>
            <w:r w:rsidRPr="00AD1496">
              <w:rPr>
                <w:rFonts w:asciiTheme="majorHAnsi" w:hAnsiTheme="majorHAnsi" w:cstheme="majorHAnsi"/>
                <w:sz w:val="20"/>
                <w:szCs w:val="20"/>
              </w:rPr>
              <w:t>re their draft assessment</w:t>
            </w:r>
          </w:p>
        </w:tc>
      </w:tr>
      <w:tr w:rsidR="00A0394B" w:rsidRPr="00AD1496" w14:paraId="348F9151"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4C92BDFE"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comments on </w:t>
            </w:r>
            <w:r w:rsidRPr="00AD1496">
              <w:rPr>
                <w:rFonts w:asciiTheme="majorHAnsi" w:hAnsiTheme="majorHAnsi" w:cstheme="majorHAnsi"/>
                <w:sz w:val="20"/>
                <w:szCs w:val="20"/>
              </w:rPr>
              <w:lastRenderedPageBreak/>
              <w:t>Draft NPA assessment</w:t>
            </w:r>
          </w:p>
        </w:tc>
      </w:tr>
      <w:tr w:rsidR="00A0394B" w:rsidRPr="00AD1496" w14:paraId="58C7FA85"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55A93E4D"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Additional advice provided by MDBA</w:t>
            </w:r>
          </w:p>
        </w:tc>
      </w:tr>
      <w:tr w:rsidR="00A0394B" w:rsidRPr="00AD1496" w14:paraId="33EFEECE"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AE2A566"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Final NPA assessment</w:t>
            </w:r>
          </w:p>
        </w:tc>
      </w:tr>
      <w:tr w:rsidR="00A0394B" w:rsidRPr="00AD1496" w14:paraId="72B87CCB"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16A929E2"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2016-17</w:t>
            </w:r>
          </w:p>
        </w:tc>
      </w:tr>
      <w:tr w:rsidR="00A0394B" w:rsidRPr="00AD1496" w14:paraId="118EE70C"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E280D30"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Statement of Assurances</w:t>
            </w:r>
          </w:p>
        </w:tc>
      </w:tr>
      <w:tr w:rsidR="00CD61D1" w:rsidRPr="00AD1496" w14:paraId="3FBD20B4"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A1B98AD" w14:textId="77777777" w:rsidR="00CD61D1" w:rsidRPr="00AD1496" w:rsidRDefault="00CD61D1"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Additional information provided by each state to be included in the NPA assessment</w:t>
            </w:r>
          </w:p>
        </w:tc>
      </w:tr>
      <w:tr w:rsidR="007B6AEE" w:rsidRPr="00AD1496" w14:paraId="2DE59B6B"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27BAE97" w14:textId="77777777" w:rsidR="007B6AEE" w:rsidRPr="00AD1496" w:rsidRDefault="007B6AEE"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CEWO and MDBA advice on each state’s performance</w:t>
            </w:r>
          </w:p>
        </w:tc>
      </w:tr>
      <w:tr w:rsidR="007B6AEE" w:rsidRPr="00AD1496" w14:paraId="324F66E4"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100AF3C" w14:textId="43CD955B" w:rsidR="007B6AEE" w:rsidRPr="00AD1496" w:rsidRDefault="007B6AEE" w:rsidP="007B6AEE">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w:t>
            </w:r>
            <w:r w:rsidR="00192B1D" w:rsidRPr="00AD1496">
              <w:rPr>
                <w:rFonts w:asciiTheme="majorHAnsi" w:hAnsiTheme="majorHAnsi" w:cstheme="majorHAnsi"/>
                <w:sz w:val="20"/>
                <w:szCs w:val="20"/>
              </w:rPr>
              <w:t>D</w:t>
            </w:r>
            <w:r w:rsidRPr="00AD1496">
              <w:rPr>
                <w:rFonts w:asciiTheme="majorHAnsi" w:hAnsiTheme="majorHAnsi" w:cstheme="majorHAnsi"/>
                <w:sz w:val="20"/>
                <w:szCs w:val="20"/>
              </w:rPr>
              <w:t>raft NPA assessments</w:t>
            </w:r>
          </w:p>
        </w:tc>
      </w:tr>
      <w:tr w:rsidR="00A0394B" w:rsidRPr="00AD1496" w14:paraId="3970E0C2"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2426D89" w14:textId="56A0E6C5"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Clarification emails from</w:t>
            </w:r>
            <w:r w:rsidR="00901671" w:rsidRPr="00AD1496">
              <w:rPr>
                <w:rFonts w:asciiTheme="majorHAnsi" w:hAnsiTheme="majorHAnsi" w:cstheme="majorHAnsi"/>
                <w:sz w:val="20"/>
                <w:szCs w:val="20"/>
              </w:rPr>
              <w:t xml:space="preserve"> States </w:t>
            </w:r>
            <w:r w:rsidRPr="00AD1496">
              <w:rPr>
                <w:rFonts w:asciiTheme="majorHAnsi" w:hAnsiTheme="majorHAnsi" w:cstheme="majorHAnsi"/>
                <w:sz w:val="20"/>
                <w:szCs w:val="20"/>
              </w:rPr>
              <w:t>re their draft assessment</w:t>
            </w:r>
          </w:p>
        </w:tc>
      </w:tr>
      <w:tr w:rsidR="00A0394B" w:rsidRPr="00AD1496" w14:paraId="420DC914"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3A6B50F6"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comments on Draft NPA assessment</w:t>
            </w:r>
          </w:p>
        </w:tc>
      </w:tr>
      <w:tr w:rsidR="00192B1D" w:rsidRPr="00AD1496" w14:paraId="57A10DE1"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00980DB" w14:textId="29389340" w:rsidR="00192B1D" w:rsidRPr="00AD1496" w:rsidRDefault="00192B1D"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2</w:t>
            </w:r>
            <w:r w:rsidRPr="00AD1496">
              <w:rPr>
                <w:rFonts w:asciiTheme="majorHAnsi" w:hAnsiTheme="majorHAnsi" w:cstheme="majorHAnsi"/>
                <w:sz w:val="20"/>
                <w:szCs w:val="20"/>
                <w:vertAlign w:val="superscript"/>
              </w:rPr>
              <w:t>nd</w:t>
            </w:r>
            <w:r w:rsidRPr="00AD1496">
              <w:rPr>
                <w:rFonts w:asciiTheme="majorHAnsi" w:hAnsiTheme="majorHAnsi" w:cstheme="majorHAnsi"/>
                <w:sz w:val="20"/>
                <w:szCs w:val="20"/>
              </w:rPr>
              <w:t xml:space="preserve"> Draft NPA assessments</w:t>
            </w:r>
          </w:p>
        </w:tc>
      </w:tr>
      <w:tr w:rsidR="00A0394B" w:rsidRPr="00AD1496" w14:paraId="4D236DC1"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5E7EAB2"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comments on 2</w:t>
            </w:r>
            <w:r w:rsidRPr="00AD1496">
              <w:rPr>
                <w:rFonts w:asciiTheme="majorHAnsi" w:hAnsiTheme="majorHAnsi" w:cstheme="majorHAnsi"/>
                <w:sz w:val="20"/>
                <w:szCs w:val="20"/>
                <w:vertAlign w:val="superscript"/>
              </w:rPr>
              <w:t>nd</w:t>
            </w:r>
            <w:r w:rsidRPr="00AD1496">
              <w:rPr>
                <w:rFonts w:asciiTheme="majorHAnsi" w:hAnsiTheme="majorHAnsi" w:cstheme="majorHAnsi"/>
                <w:sz w:val="20"/>
                <w:szCs w:val="20"/>
              </w:rPr>
              <w:t xml:space="preserve"> Draft NPA assessment</w:t>
            </w:r>
          </w:p>
        </w:tc>
      </w:tr>
      <w:tr w:rsidR="00A0394B" w:rsidRPr="00AD1496" w14:paraId="10965049"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F6AD5BC"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Official letters from each state indicating that information provided is factual</w:t>
            </w:r>
          </w:p>
        </w:tc>
      </w:tr>
      <w:tr w:rsidR="00A0394B" w:rsidRPr="00AD1496" w14:paraId="264935B4"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192C2D4"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Official letter from Victoria re the Victorian Farm </w:t>
            </w:r>
            <w:r w:rsidRPr="00AD1496">
              <w:rPr>
                <w:rFonts w:asciiTheme="majorHAnsi" w:hAnsiTheme="majorHAnsi" w:cstheme="majorHAnsi"/>
                <w:sz w:val="20"/>
                <w:szCs w:val="20"/>
              </w:rPr>
              <w:lastRenderedPageBreak/>
              <w:t>Modernisation Project</w:t>
            </w:r>
          </w:p>
        </w:tc>
      </w:tr>
      <w:tr w:rsidR="00A0394B" w:rsidRPr="00AD1496" w14:paraId="06DCFFBB"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19E0970"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Additional advice provided by MDBA</w:t>
            </w:r>
          </w:p>
        </w:tc>
      </w:tr>
      <w:tr w:rsidR="00A0394B" w:rsidRPr="00AD1496" w14:paraId="53C59B8E"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74B6DF1"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Final NPA assessment</w:t>
            </w:r>
          </w:p>
        </w:tc>
      </w:tr>
      <w:tr w:rsidR="00A0394B" w:rsidRPr="00AD1496" w14:paraId="55246119" w14:textId="77777777" w:rsidTr="00A0394B">
        <w:trPr>
          <w:gridAfter w:val="1"/>
          <w:wAfter w:w="60" w:type="dxa"/>
          <w:trHeight w:val="420"/>
        </w:trPr>
        <w:tc>
          <w:tcPr>
            <w:tcW w:w="8820" w:type="dxa"/>
            <w:gridSpan w:val="2"/>
            <w:tcBorders>
              <w:top w:val="nil"/>
              <w:left w:val="nil"/>
              <w:bottom w:val="single" w:sz="8" w:space="0" w:color="EEECE1"/>
              <w:right w:val="nil"/>
            </w:tcBorders>
            <w:shd w:val="clear" w:color="auto" w:fill="FCF5EB" w:themeFill="accent4" w:themeFillTint="33"/>
            <w:tcMar>
              <w:top w:w="120" w:type="dxa"/>
              <w:left w:w="60" w:type="dxa"/>
              <w:bottom w:w="60" w:type="dxa"/>
              <w:right w:w="60" w:type="dxa"/>
            </w:tcMar>
          </w:tcPr>
          <w:p w14:paraId="5EED6ABB" w14:textId="77777777" w:rsidR="00A0394B" w:rsidRPr="00AD1496" w:rsidRDefault="00A0394B" w:rsidP="00F3765B">
            <w:pPr>
              <w:spacing w:after="0"/>
              <w:ind w:left="60"/>
              <w:rPr>
                <w:rFonts w:asciiTheme="majorHAnsi" w:hAnsiTheme="majorHAnsi" w:cstheme="majorHAnsi"/>
                <w:b/>
                <w:i/>
                <w:sz w:val="20"/>
                <w:szCs w:val="20"/>
              </w:rPr>
            </w:pPr>
            <w:r w:rsidRPr="00AD1496">
              <w:rPr>
                <w:rFonts w:asciiTheme="majorHAnsi" w:hAnsiTheme="majorHAnsi" w:cstheme="majorHAnsi"/>
                <w:b/>
                <w:i/>
                <w:sz w:val="20"/>
                <w:szCs w:val="20"/>
              </w:rPr>
              <w:t>2017-18</w:t>
            </w:r>
          </w:p>
        </w:tc>
      </w:tr>
      <w:tr w:rsidR="00A0394B" w:rsidRPr="00AD1496" w14:paraId="4F9E1523"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08D7888C"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Statement of Assurances</w:t>
            </w:r>
          </w:p>
        </w:tc>
      </w:tr>
      <w:tr w:rsidR="00A0394B" w:rsidRPr="00AD1496" w14:paraId="0334F627"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E9DB4FB"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2017-18 Annual report</w:t>
            </w:r>
          </w:p>
        </w:tc>
      </w:tr>
      <w:tr w:rsidR="00A0394B" w:rsidRPr="00AD1496" w14:paraId="57168EE0"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1D3D81D"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Victorian Basin Plan Implementation Highlights for 2017-18</w:t>
            </w:r>
          </w:p>
        </w:tc>
      </w:tr>
      <w:tr w:rsidR="007B6AEE" w:rsidRPr="00AD1496" w14:paraId="07C1A3AD"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68225271" w14:textId="77777777" w:rsidR="007B6AEE" w:rsidRPr="00AD1496" w:rsidRDefault="007B6AEE"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Official letter from NSW re progress under the NPA </w:t>
            </w:r>
          </w:p>
        </w:tc>
      </w:tr>
      <w:tr w:rsidR="007B6AEE" w:rsidRPr="00AD1496" w14:paraId="58CEBB9F"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737F56B" w14:textId="77777777" w:rsidR="007B6AEE" w:rsidRPr="00AD1496" w:rsidRDefault="007B6AEE"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CEWO and MDBA advice </w:t>
            </w:r>
            <w:r w:rsidRPr="00AD1496">
              <w:rPr>
                <w:rFonts w:asciiTheme="majorHAnsi" w:hAnsiTheme="majorHAnsi" w:cstheme="majorHAnsi"/>
                <w:sz w:val="20"/>
                <w:szCs w:val="20"/>
              </w:rPr>
              <w:lastRenderedPageBreak/>
              <w:t>on each state’s performance</w:t>
            </w:r>
          </w:p>
        </w:tc>
      </w:tr>
      <w:tr w:rsidR="00A0394B" w:rsidRPr="00AD1496" w14:paraId="485174E7"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FE3917F" w14:textId="5A6E1183" w:rsidR="00A0394B" w:rsidRPr="00AD1496" w:rsidRDefault="00A0394B" w:rsidP="0079799F">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 xml:space="preserve">ACT, VIC answers to follow up </w:t>
            </w:r>
            <w:r w:rsidR="00192B1D" w:rsidRPr="00AD1496">
              <w:rPr>
                <w:rFonts w:asciiTheme="majorHAnsi" w:hAnsiTheme="majorHAnsi" w:cstheme="majorHAnsi"/>
                <w:sz w:val="20"/>
                <w:szCs w:val="20"/>
              </w:rPr>
              <w:t xml:space="preserve">questions about </w:t>
            </w:r>
            <w:r w:rsidRPr="00AD1496">
              <w:rPr>
                <w:rFonts w:asciiTheme="majorHAnsi" w:hAnsiTheme="majorHAnsi" w:cstheme="majorHAnsi"/>
                <w:sz w:val="20"/>
                <w:szCs w:val="20"/>
              </w:rPr>
              <w:t>their Statement of Assurances</w:t>
            </w:r>
          </w:p>
        </w:tc>
      </w:tr>
      <w:tr w:rsidR="00192B1D" w:rsidRPr="00AD1496" w14:paraId="2E5280B3"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3F1623D" w14:textId="77777777" w:rsidR="00192B1D" w:rsidRPr="00AD1496" w:rsidRDefault="00192B1D"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NSW additional evidence re watering priorities</w:t>
            </w:r>
          </w:p>
        </w:tc>
      </w:tr>
      <w:tr w:rsidR="007B6AEE" w:rsidRPr="00AD1496" w14:paraId="0F6D6767"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2D96DB72" w14:textId="3BFBC06D" w:rsidR="007B6AEE" w:rsidRPr="00AD1496" w:rsidRDefault="007B6AEE" w:rsidP="007B6AEE">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ACT, NSW, Qld, SA, Vic </w:t>
            </w:r>
            <w:r w:rsidR="00192B1D" w:rsidRPr="00AD1496">
              <w:rPr>
                <w:rFonts w:asciiTheme="majorHAnsi" w:hAnsiTheme="majorHAnsi" w:cstheme="majorHAnsi"/>
                <w:sz w:val="20"/>
                <w:szCs w:val="20"/>
              </w:rPr>
              <w:t>D</w:t>
            </w:r>
            <w:r w:rsidRPr="00AD1496">
              <w:rPr>
                <w:rFonts w:asciiTheme="majorHAnsi" w:hAnsiTheme="majorHAnsi" w:cstheme="majorHAnsi"/>
                <w:sz w:val="20"/>
                <w:szCs w:val="20"/>
              </w:rPr>
              <w:t>raft NPA assessments</w:t>
            </w:r>
          </w:p>
        </w:tc>
      </w:tr>
      <w:tr w:rsidR="00A0394B" w:rsidRPr="00AD1496" w14:paraId="7B3A6F35"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7FE8B7F"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ACT, NSW, Qld, SA, Vic comments on Draft NPA assessment</w:t>
            </w:r>
          </w:p>
        </w:tc>
      </w:tr>
      <w:tr w:rsidR="00192B1D" w:rsidRPr="00AD1496" w14:paraId="5FF02E46" w14:textId="77777777" w:rsidTr="001464B2">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69B53F2" w14:textId="77777777" w:rsidR="00192B1D" w:rsidRPr="00AD1496" w:rsidRDefault="00192B1D" w:rsidP="001464B2">
            <w:pPr>
              <w:spacing w:after="0"/>
              <w:ind w:left="60"/>
              <w:rPr>
                <w:rFonts w:asciiTheme="majorHAnsi" w:hAnsiTheme="majorHAnsi" w:cstheme="majorHAnsi"/>
                <w:sz w:val="20"/>
                <w:szCs w:val="20"/>
              </w:rPr>
            </w:pPr>
            <w:r w:rsidRPr="00AD1496">
              <w:rPr>
                <w:rFonts w:asciiTheme="majorHAnsi" w:hAnsiTheme="majorHAnsi" w:cstheme="majorHAnsi"/>
                <w:sz w:val="20"/>
                <w:szCs w:val="20"/>
              </w:rPr>
              <w:t>Clarification emails from States re their draft assessment</w:t>
            </w:r>
          </w:p>
        </w:tc>
      </w:tr>
      <w:tr w:rsidR="00A0394B" w:rsidRPr="00AD1496" w14:paraId="65A15848"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B5E243E"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 xml:space="preserve">Official letters from each state </w:t>
            </w:r>
            <w:r w:rsidRPr="00AD1496">
              <w:rPr>
                <w:rFonts w:asciiTheme="majorHAnsi" w:hAnsiTheme="majorHAnsi" w:cstheme="majorHAnsi"/>
                <w:sz w:val="20"/>
                <w:szCs w:val="20"/>
              </w:rPr>
              <w:lastRenderedPageBreak/>
              <w:t>indicating that information provided is factual</w:t>
            </w:r>
          </w:p>
        </w:tc>
      </w:tr>
      <w:tr w:rsidR="00A0394B" w:rsidRPr="00AD1496" w14:paraId="07988C31"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79C4A270" w14:textId="77777777"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lastRenderedPageBreak/>
              <w:t>Additional advice provided by MDBA</w:t>
            </w:r>
          </w:p>
        </w:tc>
      </w:tr>
      <w:tr w:rsidR="00A0394B" w:rsidRPr="00AD1496" w14:paraId="0A6D00F0" w14:textId="77777777" w:rsidTr="00A0394B">
        <w:trPr>
          <w:gridAfter w:val="1"/>
          <w:wAfter w:w="60" w:type="dxa"/>
          <w:trHeight w:val="360"/>
        </w:trPr>
        <w:tc>
          <w:tcPr>
            <w:tcW w:w="8820" w:type="dxa"/>
            <w:gridSpan w:val="2"/>
            <w:tcBorders>
              <w:top w:val="nil"/>
              <w:left w:val="nil"/>
              <w:bottom w:val="single" w:sz="8" w:space="0" w:color="EEECE1"/>
              <w:right w:val="nil"/>
            </w:tcBorders>
            <w:tcMar>
              <w:top w:w="120" w:type="dxa"/>
              <w:left w:w="60" w:type="dxa"/>
              <w:bottom w:w="60" w:type="dxa"/>
              <w:right w:w="60" w:type="dxa"/>
            </w:tcMar>
            <w:vAlign w:val="bottom"/>
          </w:tcPr>
          <w:p w14:paraId="16886A91" w14:textId="05008232" w:rsidR="00A0394B" w:rsidRPr="00AD1496" w:rsidRDefault="00A0394B" w:rsidP="00F3765B">
            <w:pPr>
              <w:spacing w:after="0"/>
              <w:ind w:left="60"/>
              <w:rPr>
                <w:rFonts w:asciiTheme="majorHAnsi" w:hAnsiTheme="majorHAnsi" w:cstheme="majorHAnsi"/>
                <w:sz w:val="20"/>
                <w:szCs w:val="20"/>
              </w:rPr>
            </w:pPr>
            <w:r w:rsidRPr="00AD1496">
              <w:rPr>
                <w:rFonts w:asciiTheme="majorHAnsi" w:hAnsiTheme="majorHAnsi" w:cstheme="majorHAnsi"/>
                <w:sz w:val="20"/>
                <w:szCs w:val="20"/>
              </w:rPr>
              <w:t>Final NPA assessment</w:t>
            </w:r>
          </w:p>
        </w:tc>
      </w:tr>
      <w:tr w:rsidR="00266A91" w:rsidRPr="00AD1496" w14:paraId="3A1589E4" w14:textId="77777777" w:rsidTr="00A0394B">
        <w:trPr>
          <w:gridBefore w:val="1"/>
          <w:wBefore w:w="60" w:type="dxa"/>
          <w:trHeight w:val="360"/>
        </w:trPr>
        <w:tc>
          <w:tcPr>
            <w:tcW w:w="8820" w:type="dxa"/>
            <w:gridSpan w:val="2"/>
            <w:tcBorders>
              <w:top w:val="nil"/>
              <w:left w:val="nil"/>
              <w:bottom w:val="single" w:sz="8" w:space="0" w:color="08193E"/>
              <w:right w:val="nil"/>
            </w:tcBorders>
            <w:tcMar>
              <w:top w:w="120" w:type="dxa"/>
              <w:left w:w="60" w:type="dxa"/>
              <w:bottom w:w="60" w:type="dxa"/>
              <w:right w:w="60" w:type="dxa"/>
            </w:tcMar>
            <w:vAlign w:val="bottom"/>
          </w:tcPr>
          <w:p w14:paraId="107A2CCE" w14:textId="54A4763B" w:rsidR="00266A91" w:rsidRPr="00AD1496" w:rsidRDefault="00A0394B" w:rsidP="00A0394B">
            <w:pPr>
              <w:spacing w:after="0"/>
              <w:rPr>
                <w:rFonts w:asciiTheme="majorHAnsi" w:hAnsiTheme="majorHAnsi" w:cstheme="majorHAnsi"/>
                <w:sz w:val="20"/>
                <w:szCs w:val="20"/>
              </w:rPr>
            </w:pPr>
            <w:r w:rsidRPr="00AD1496">
              <w:rPr>
                <w:rFonts w:asciiTheme="majorHAnsi" w:hAnsiTheme="majorHAnsi" w:cstheme="majorHAnsi"/>
                <w:sz w:val="20"/>
                <w:szCs w:val="20"/>
              </w:rPr>
              <w:t>Summary of Basin States payments</w:t>
            </w:r>
          </w:p>
        </w:tc>
      </w:tr>
    </w:tbl>
    <w:p w14:paraId="6757CC5D" w14:textId="77777777" w:rsidR="00266A91" w:rsidRPr="00AD1496" w:rsidRDefault="00266A91" w:rsidP="00266A91">
      <w:pPr>
        <w:rPr>
          <w:rFonts w:asciiTheme="majorHAnsi" w:hAnsiTheme="majorHAnsi" w:cstheme="majorHAnsi"/>
        </w:rPr>
      </w:pPr>
    </w:p>
    <w:p w14:paraId="2E47F223" w14:textId="77777777" w:rsidR="00FD5652" w:rsidRPr="00AD1496" w:rsidRDefault="00FD5652" w:rsidP="00FD5652">
      <w:pPr>
        <w:rPr>
          <w:rFonts w:asciiTheme="majorHAnsi" w:hAnsiTheme="majorHAnsi" w:cstheme="majorHAnsi"/>
        </w:rPr>
      </w:pPr>
    </w:p>
    <w:p w14:paraId="19210734" w14:textId="77777777" w:rsidR="003F56B9" w:rsidRPr="00AD1496" w:rsidRDefault="003F56B9" w:rsidP="00EF151F">
      <w:pPr>
        <w:rPr>
          <w:rFonts w:asciiTheme="majorHAnsi" w:hAnsiTheme="majorHAnsi" w:cstheme="majorHAnsi"/>
        </w:rPr>
      </w:pPr>
    </w:p>
    <w:p w14:paraId="1A5FEDBF" w14:textId="6A904916" w:rsidR="008A3D12" w:rsidRPr="00AD1496" w:rsidRDefault="008A3D12" w:rsidP="007A065E">
      <w:pPr>
        <w:pStyle w:val="Appendix"/>
        <w:rPr>
          <w:rFonts w:asciiTheme="majorHAnsi" w:hAnsiTheme="majorHAnsi" w:cstheme="majorHAnsi"/>
        </w:rPr>
      </w:pPr>
      <w:bookmarkStart w:id="93" w:name="_Ref16601932"/>
      <w:bookmarkStart w:id="94" w:name="_Toc33700627"/>
      <w:r w:rsidRPr="00AD1496">
        <w:rPr>
          <w:rFonts w:asciiTheme="majorHAnsi" w:hAnsiTheme="majorHAnsi" w:cstheme="majorHAnsi"/>
        </w:rPr>
        <w:lastRenderedPageBreak/>
        <w:t>NPA milestones</w:t>
      </w:r>
      <w:bookmarkEnd w:id="93"/>
      <w:bookmarkEnd w:id="94"/>
    </w:p>
    <w:p w14:paraId="5DC8CC94" w14:textId="77777777" w:rsidR="008A3D12" w:rsidRPr="00AD1496" w:rsidRDefault="008A3D12" w:rsidP="008A3D12">
      <w:pPr>
        <w:rPr>
          <w:rFonts w:asciiTheme="majorHAnsi" w:hAnsiTheme="majorHAnsi" w:cstheme="majorHAnsi"/>
        </w:rPr>
      </w:pPr>
      <w:r w:rsidRPr="00AD1496">
        <w:rPr>
          <w:rFonts w:asciiTheme="majorHAnsi" w:hAnsiTheme="majorHAnsi" w:cstheme="majorHAnsi"/>
        </w:rPr>
        <w:t>The performance milestones are outlined below as per Schedule A in the National Partnership Agreement on Implementing Water Reform in the Murray-Darling Basin:</w:t>
      </w:r>
    </w:p>
    <w:p w14:paraId="45D544DD"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1:</w:t>
      </w:r>
      <w:r w:rsidRPr="00AD1496">
        <w:rPr>
          <w:rFonts w:asciiTheme="majorHAnsi" w:hAnsiTheme="majorHAnsi" w:cstheme="majorHAnsi"/>
        </w:rPr>
        <w:t xml:space="preserve"> For New South Wales, Victoria and South Australia only, the State has provided a brief description of supply measure projects for which feasibility and business cases are being developed for consideration under the SDL adjustment mechanism.</w:t>
      </w:r>
    </w:p>
    <w:p w14:paraId="21BFA1A3"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2:</w:t>
      </w:r>
      <w:r w:rsidRPr="00AD1496">
        <w:rPr>
          <w:rFonts w:asciiTheme="majorHAnsi" w:hAnsiTheme="majorHAnsi" w:cstheme="majorHAnsi"/>
        </w:rPr>
        <w:t xml:space="preserve"> The State has supported the Commonwealth in Bridging the Gap, as measured by:</w:t>
      </w:r>
    </w:p>
    <w:p w14:paraId="4FA8AB67"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a. confirmation that no restrictions were introduced on the trade of water access entitlement, except where consistent with the Basin Plan water trading rules; and</w:t>
      </w:r>
    </w:p>
    <w:p w14:paraId="14C4694F"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b. confirmation that no action has been taken to impede Commonwealth measures to acquire water for environmental purposes; and</w:t>
      </w:r>
    </w:p>
    <w:p w14:paraId="4E08BBD6"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lastRenderedPageBreak/>
        <w:t>c. confirmation that applications for water entitlement and allocation trades, to which the Commonwealth is a party, were processed consistent with the agreed service standards relating to trade processing times for State approval agencies; and</w:t>
      </w:r>
    </w:p>
    <w:p w14:paraId="401AED2A"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d. specification of entitlements in regulated surface water systems, consistent with clauses 28 to 32 of the National Water Initiative in the timeframe agreed by the IGA, unless where otherwise agreed.</w:t>
      </w:r>
    </w:p>
    <w:p w14:paraId="640937BA" w14:textId="5CAE2445"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3</w:t>
      </w:r>
      <w:r w:rsidRPr="00AD1496">
        <w:rPr>
          <w:rFonts w:asciiTheme="majorHAnsi" w:hAnsiTheme="majorHAnsi" w:cstheme="majorHAnsi"/>
        </w:rPr>
        <w:t>: Following publication of the Constraints Management Strategy by the Authority, confirmation that any actions taken by the state to remove or address constraints are consistent with the measures agreed t</w:t>
      </w:r>
      <w:r w:rsidR="002E6465" w:rsidRPr="00AD1496">
        <w:rPr>
          <w:rFonts w:asciiTheme="majorHAnsi" w:hAnsiTheme="majorHAnsi" w:cstheme="majorHAnsi"/>
        </w:rPr>
        <w:t>h</w:t>
      </w:r>
      <w:r w:rsidRPr="00AD1496">
        <w:rPr>
          <w:rFonts w:asciiTheme="majorHAnsi" w:hAnsiTheme="majorHAnsi" w:cstheme="majorHAnsi"/>
        </w:rPr>
        <w:t>rough the inter-jurisdictional governance procedure for the SDL adjustment mechanism.</w:t>
      </w:r>
    </w:p>
    <w:p w14:paraId="50ABC1BF"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4</w:t>
      </w:r>
      <w:r w:rsidRPr="00AD1496">
        <w:rPr>
          <w:rFonts w:asciiTheme="majorHAnsi" w:hAnsiTheme="majorHAnsi" w:cstheme="majorHAnsi"/>
        </w:rPr>
        <w:t>: The state has cooperated in arrangements for Basin Plan environmental watering, as measured by:</w:t>
      </w:r>
    </w:p>
    <w:p w14:paraId="68349ACB"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 xml:space="preserve">a. except as otherwise agreed by the Commonwealth and the relevant State(s) to facilitate improved environmental watering, confirmation that the characteristics of licensed entitlements held for environmental use have not been enhanced or diminished relative </w:t>
      </w:r>
      <w:r w:rsidRPr="00AD1496">
        <w:rPr>
          <w:rFonts w:asciiTheme="majorHAnsi" w:hAnsiTheme="majorHAnsi" w:cstheme="majorHAnsi"/>
        </w:rPr>
        <w:lastRenderedPageBreak/>
        <w:t>to like entitlements held and used for other purposes; and</w:t>
      </w:r>
    </w:p>
    <w:p w14:paraId="452358DA"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b. where feasible and agreed by the relevant Basin State, and where associated their party impacts have been considered, confirmation that measures have been implemented to facilitate the use of environmental water by protecting environmental water in-stream and on land through:</w:t>
      </w:r>
    </w:p>
    <w:p w14:paraId="78148DBE" w14:textId="77777777" w:rsidR="008A3D12" w:rsidRPr="00AD1496" w:rsidRDefault="008A3D12" w:rsidP="008D175D">
      <w:pPr>
        <w:pStyle w:val="Listdashlevel2"/>
        <w:numPr>
          <w:ilvl w:val="0"/>
          <w:numId w:val="23"/>
        </w:numPr>
        <w:rPr>
          <w:rFonts w:asciiTheme="majorHAnsi" w:hAnsiTheme="majorHAnsi" w:cstheme="majorHAnsi"/>
        </w:rPr>
      </w:pPr>
      <w:r w:rsidRPr="00AD1496">
        <w:rPr>
          <w:rFonts w:asciiTheme="majorHAnsi" w:hAnsiTheme="majorHAnsi" w:cstheme="majorHAnsi"/>
        </w:rPr>
        <w:t>The delivery of held environmental water in-stream through arrangements such as water shepherding to facilitate environmental flows; and</w:t>
      </w:r>
    </w:p>
    <w:p w14:paraId="478E971A" w14:textId="77777777" w:rsidR="008A3D12" w:rsidRPr="00AD1496" w:rsidRDefault="008A3D12" w:rsidP="008D175D">
      <w:pPr>
        <w:pStyle w:val="Listdashlevel2"/>
        <w:numPr>
          <w:ilvl w:val="0"/>
          <w:numId w:val="23"/>
        </w:numPr>
        <w:rPr>
          <w:rFonts w:asciiTheme="majorHAnsi" w:hAnsiTheme="majorHAnsi" w:cstheme="majorHAnsi"/>
        </w:rPr>
      </w:pPr>
      <w:r w:rsidRPr="00AD1496">
        <w:rPr>
          <w:rFonts w:asciiTheme="majorHAnsi" w:hAnsiTheme="majorHAnsi" w:cstheme="majorHAnsi"/>
        </w:rPr>
        <w:t xml:space="preserve">Further use of environmental water at multiple locations along the river, such as through return flow provisions; and </w:t>
      </w:r>
    </w:p>
    <w:p w14:paraId="44479BA2"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c. confirmation that the Authority has been provided with annual environmental watering priorities, consistent with the Basin Plan; and</w:t>
      </w:r>
    </w:p>
    <w:p w14:paraId="0A2A71DE"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d. confirmation that the management and delivery of planned and held environmental water is consistent with the Basin Plan, including:</w:t>
      </w:r>
    </w:p>
    <w:p w14:paraId="195F073A" w14:textId="77777777" w:rsidR="008A3D12" w:rsidRPr="00AD1496" w:rsidRDefault="008A3D12" w:rsidP="008D175D">
      <w:pPr>
        <w:pStyle w:val="Listdashlevel2"/>
        <w:numPr>
          <w:ilvl w:val="0"/>
          <w:numId w:val="24"/>
        </w:numPr>
        <w:rPr>
          <w:rFonts w:asciiTheme="majorHAnsi" w:hAnsiTheme="majorHAnsi" w:cstheme="majorHAnsi"/>
        </w:rPr>
      </w:pPr>
      <w:r w:rsidRPr="00AD1496">
        <w:rPr>
          <w:rFonts w:asciiTheme="majorHAnsi" w:hAnsiTheme="majorHAnsi" w:cstheme="majorHAnsi"/>
        </w:rPr>
        <w:lastRenderedPageBreak/>
        <w:t xml:space="preserve">the environmental watering plan’s </w:t>
      </w:r>
      <w:r w:rsidRPr="00AD1496">
        <w:rPr>
          <w:rFonts w:asciiTheme="majorHAnsi" w:hAnsiTheme="majorHAnsi" w:cstheme="majorHAnsi"/>
          <w:i/>
        </w:rPr>
        <w:t xml:space="preserve">Principles to be applied to environmental watering; </w:t>
      </w:r>
      <w:r w:rsidRPr="00AD1496">
        <w:rPr>
          <w:rFonts w:asciiTheme="majorHAnsi" w:hAnsiTheme="majorHAnsi" w:cstheme="majorHAnsi"/>
        </w:rPr>
        <w:t>and</w:t>
      </w:r>
    </w:p>
    <w:p w14:paraId="6DA4EAAC" w14:textId="77777777" w:rsidR="008A3D12" w:rsidRPr="00AD1496" w:rsidRDefault="008A3D12" w:rsidP="008D175D">
      <w:pPr>
        <w:pStyle w:val="Listdashlevel2"/>
        <w:numPr>
          <w:ilvl w:val="0"/>
          <w:numId w:val="24"/>
        </w:numPr>
        <w:rPr>
          <w:rFonts w:asciiTheme="majorHAnsi" w:hAnsiTheme="majorHAnsi" w:cstheme="majorHAnsi"/>
        </w:rPr>
      </w:pPr>
      <w:r w:rsidRPr="00AD1496">
        <w:rPr>
          <w:rFonts w:asciiTheme="majorHAnsi" w:hAnsiTheme="majorHAnsi" w:cstheme="majorHAnsi"/>
        </w:rPr>
        <w:t>that a statement of reasons has been provided to the Authority for any environmental watering undertaken that was not in accordance with the Basin annual environmental watering priorities; and</w:t>
      </w:r>
    </w:p>
    <w:p w14:paraId="6ACBC7EF"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 xml:space="preserve">e. confirmation that environmental watering in regulated catchments has occurred having regard to the views of local communities and persons materially affected by the management of environmental water; and </w:t>
      </w:r>
    </w:p>
    <w:p w14:paraId="26C21AFB"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f. 12 months after the Authority has made the Basin-wide Environmental Watering Strategy, or within another timeframe agreed between the Authority and Basin State, confirmation that long-term environmental watering plans for surface water resource plan areas have been developed consistent with the requirements of the Basin Plan.</w:t>
      </w:r>
    </w:p>
    <w:p w14:paraId="7F91CC19"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5</w:t>
      </w:r>
      <w:r w:rsidRPr="00AD1496">
        <w:rPr>
          <w:rFonts w:asciiTheme="majorHAnsi" w:hAnsiTheme="majorHAnsi" w:cstheme="majorHAnsi"/>
        </w:rPr>
        <w:t xml:space="preserve">: For New South Wales, Victoria and South Australia only, the State has provided a brief description of supply measure projects for which feasibility and </w:t>
      </w:r>
      <w:r w:rsidRPr="00AD1496">
        <w:rPr>
          <w:rFonts w:asciiTheme="majorHAnsi" w:hAnsiTheme="majorHAnsi" w:cstheme="majorHAnsi"/>
        </w:rPr>
        <w:lastRenderedPageBreak/>
        <w:t>business cases are being developed for consideration under the SDL adjustment mechanism</w:t>
      </w:r>
    </w:p>
    <w:p w14:paraId="174FCEC6"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6</w:t>
      </w:r>
      <w:r w:rsidRPr="00AD1496">
        <w:rPr>
          <w:rFonts w:asciiTheme="majorHAnsi" w:hAnsiTheme="majorHAnsi" w:cstheme="majorHAnsi"/>
        </w:rPr>
        <w:t>: The state has supported the Commonwealth in Bridging the Gap, as measured by:</w:t>
      </w:r>
    </w:p>
    <w:p w14:paraId="6BBC46C9"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a. after the Basin Plan Trade Rules come into effect, confirmation of the removal of volumetric or other barriers to permanent trade out of water irrigation areas that are inconsistent with the Basin Plan water trading rules; and</w:t>
      </w:r>
    </w:p>
    <w:p w14:paraId="30F48A73"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b. confirmation that no restrictions were introduced on the trade of water access entitlements, except where consistent with the Basin Plan water trading rules; and</w:t>
      </w:r>
    </w:p>
    <w:p w14:paraId="30703A51"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c. confirmation that no action has been taken to impede Commonwealth measures to acquire water for environmental purposes, except where consistent with the Basin Plan water trading rules; and</w:t>
      </w:r>
    </w:p>
    <w:p w14:paraId="5C79F56A"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d. confirmation that applications for water entitlement and allocation trades, to which the Commonwealth is a party, were processed consistent with the agreed service standards relating to trade processing times for State approval agencies; and</w:t>
      </w:r>
    </w:p>
    <w:p w14:paraId="4DC8C1FE" w14:textId="09C70420"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lastRenderedPageBreak/>
        <w:t xml:space="preserve">e. specification of entitlements in regulated surface water systems, consistent with the clauses 28 to 32 of the National Water </w:t>
      </w:r>
      <w:r w:rsidR="00A22216" w:rsidRPr="00AD1496">
        <w:rPr>
          <w:rFonts w:asciiTheme="majorHAnsi" w:hAnsiTheme="majorHAnsi" w:cstheme="majorHAnsi"/>
        </w:rPr>
        <w:t>Initiative</w:t>
      </w:r>
      <w:r w:rsidRPr="00AD1496">
        <w:rPr>
          <w:rFonts w:asciiTheme="majorHAnsi" w:hAnsiTheme="majorHAnsi" w:cstheme="majorHAnsi"/>
        </w:rPr>
        <w:t xml:space="preserve"> in the timeframe agreed in the IGA, unless where otherwise agreed.</w:t>
      </w:r>
    </w:p>
    <w:p w14:paraId="29C708FD" w14:textId="12CEBDDE"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7:</w:t>
      </w:r>
      <w:r w:rsidRPr="00AD1496">
        <w:rPr>
          <w:rFonts w:asciiTheme="majorHAnsi" w:hAnsiTheme="majorHAnsi" w:cstheme="majorHAnsi"/>
        </w:rPr>
        <w:t xml:space="preserve"> Following publication of the Constraints Management Strategy by the MDBA, confirmation that any actions taken by the state to remove or address constraints are consistent with the measures agreed through the inter-jurisdictional governance procedure for the SDL adjustment mechanism.</w:t>
      </w:r>
    </w:p>
    <w:p w14:paraId="53B091F9" w14:textId="77777777" w:rsidR="008A3D12" w:rsidRPr="00AD1496" w:rsidRDefault="008A3D12" w:rsidP="008A3D12">
      <w:pPr>
        <w:pStyle w:val="ListBullet"/>
        <w:rPr>
          <w:rFonts w:asciiTheme="majorHAnsi" w:hAnsiTheme="majorHAnsi" w:cstheme="majorHAnsi"/>
        </w:rPr>
      </w:pPr>
      <w:r w:rsidRPr="00AD1496">
        <w:rPr>
          <w:rFonts w:asciiTheme="majorHAnsi" w:hAnsiTheme="majorHAnsi" w:cstheme="majorHAnsi"/>
          <w:b/>
        </w:rPr>
        <w:t>Milestone 8:</w:t>
      </w:r>
      <w:r w:rsidRPr="00AD1496">
        <w:rPr>
          <w:rFonts w:asciiTheme="majorHAnsi" w:hAnsiTheme="majorHAnsi" w:cstheme="majorHAnsi"/>
        </w:rPr>
        <w:t xml:space="preserve"> The state has cooperated in arrangements for Basin Plan environmental watering, as measured by:</w:t>
      </w:r>
    </w:p>
    <w:p w14:paraId="37DCE2E9"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a. except as otherwise agreed between the Commonwealth and relevant State(s) to facilitate improved environmental watering, confirmation that the characteristics of licensed entitlements held for environmental water have not been enhanced or diminished relative to like entitlements held and used for other purposes; and</w:t>
      </w:r>
    </w:p>
    <w:p w14:paraId="2FF9DC3D"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 xml:space="preserve">b. where feasible and agreed by the relevant Basin State, and where associated third party impacts have been considered, confirmation that measures have </w:t>
      </w:r>
      <w:r w:rsidRPr="00AD1496">
        <w:rPr>
          <w:rFonts w:asciiTheme="majorHAnsi" w:hAnsiTheme="majorHAnsi" w:cstheme="majorHAnsi"/>
        </w:rPr>
        <w:lastRenderedPageBreak/>
        <w:t>been implemented to facilitate the use of environmental water by protecting environmental water in-stream and on land through:</w:t>
      </w:r>
    </w:p>
    <w:p w14:paraId="1F82D09A" w14:textId="77777777" w:rsidR="008A3D12" w:rsidRPr="00AD1496" w:rsidRDefault="008A3D12" w:rsidP="008D175D">
      <w:pPr>
        <w:pStyle w:val="Listdashlevel2"/>
        <w:numPr>
          <w:ilvl w:val="0"/>
          <w:numId w:val="25"/>
        </w:numPr>
        <w:rPr>
          <w:rFonts w:asciiTheme="majorHAnsi" w:hAnsiTheme="majorHAnsi" w:cstheme="majorHAnsi"/>
        </w:rPr>
      </w:pPr>
      <w:r w:rsidRPr="00AD1496">
        <w:rPr>
          <w:rFonts w:asciiTheme="majorHAnsi" w:hAnsiTheme="majorHAnsi" w:cstheme="majorHAnsi"/>
        </w:rPr>
        <w:t>the delivery of held environmental water in-stream through arrangements such as water shepherding to facilitate environmental flows; and</w:t>
      </w:r>
    </w:p>
    <w:p w14:paraId="78895F83" w14:textId="77777777" w:rsidR="008A3D12" w:rsidRPr="00AD1496" w:rsidRDefault="008A3D12" w:rsidP="008D175D">
      <w:pPr>
        <w:pStyle w:val="Listdashlevel2"/>
        <w:numPr>
          <w:ilvl w:val="0"/>
          <w:numId w:val="25"/>
        </w:numPr>
        <w:rPr>
          <w:rFonts w:asciiTheme="majorHAnsi" w:hAnsiTheme="majorHAnsi" w:cstheme="majorHAnsi"/>
        </w:rPr>
      </w:pPr>
      <w:r w:rsidRPr="00AD1496">
        <w:rPr>
          <w:rFonts w:asciiTheme="majorHAnsi" w:hAnsiTheme="majorHAnsi" w:cstheme="majorHAnsi"/>
        </w:rPr>
        <w:t>further use of environmental water at multiple locations along the river, such as through return flow provisions; and</w:t>
      </w:r>
    </w:p>
    <w:p w14:paraId="49220DF0" w14:textId="0107149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c. confirmation that the Authority has been provided with annual environmental watering priorities, consistent with the Basin Plan; and</w:t>
      </w:r>
    </w:p>
    <w:p w14:paraId="3A7D9903"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d. confirmation that the management and delivery of planned and held environmental water is consistent with the Basin Plan; including:</w:t>
      </w:r>
    </w:p>
    <w:p w14:paraId="7F63E659" w14:textId="77777777" w:rsidR="008A3D12" w:rsidRPr="00AD1496" w:rsidRDefault="008A3D12" w:rsidP="008D175D">
      <w:pPr>
        <w:pStyle w:val="Listdashlevel2"/>
        <w:numPr>
          <w:ilvl w:val="0"/>
          <w:numId w:val="26"/>
        </w:numPr>
        <w:rPr>
          <w:rFonts w:asciiTheme="majorHAnsi" w:hAnsiTheme="majorHAnsi" w:cstheme="majorHAnsi"/>
        </w:rPr>
      </w:pPr>
      <w:r w:rsidRPr="00AD1496">
        <w:rPr>
          <w:rFonts w:asciiTheme="majorHAnsi" w:hAnsiTheme="majorHAnsi" w:cstheme="majorHAnsi"/>
        </w:rPr>
        <w:t xml:space="preserve">the environmental watering plan’s </w:t>
      </w:r>
      <w:r w:rsidRPr="00AD1496">
        <w:rPr>
          <w:rFonts w:asciiTheme="majorHAnsi" w:hAnsiTheme="majorHAnsi" w:cstheme="majorHAnsi"/>
          <w:i/>
        </w:rPr>
        <w:t>Principle to be applied to environmental watering</w:t>
      </w:r>
      <w:r w:rsidRPr="00AD1496">
        <w:rPr>
          <w:rFonts w:asciiTheme="majorHAnsi" w:hAnsiTheme="majorHAnsi" w:cstheme="majorHAnsi"/>
        </w:rPr>
        <w:t>; and</w:t>
      </w:r>
    </w:p>
    <w:p w14:paraId="3688D181" w14:textId="77777777" w:rsidR="008A3D12" w:rsidRPr="00AD1496" w:rsidRDefault="008A3D12" w:rsidP="008D175D">
      <w:pPr>
        <w:pStyle w:val="Listdashlevel2"/>
        <w:numPr>
          <w:ilvl w:val="0"/>
          <w:numId w:val="26"/>
        </w:numPr>
        <w:rPr>
          <w:rFonts w:asciiTheme="majorHAnsi" w:hAnsiTheme="majorHAnsi" w:cstheme="majorHAnsi"/>
        </w:rPr>
      </w:pPr>
      <w:r w:rsidRPr="00AD1496">
        <w:rPr>
          <w:rFonts w:asciiTheme="majorHAnsi" w:hAnsiTheme="majorHAnsi" w:cstheme="majorHAnsi"/>
        </w:rPr>
        <w:t>that a statement of reasons has been provided to the Authority for any environmental watering undertaken that was not in accordance with the Basin annual environmental watering priorities; and</w:t>
      </w:r>
    </w:p>
    <w:p w14:paraId="39DA0E5E" w14:textId="77777777"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lastRenderedPageBreak/>
        <w:t>d. confirmation that environmental watering in regulated catchments has occurred having regard to the views of local communities and persons materially affected by the management of environmental water; and</w:t>
      </w:r>
    </w:p>
    <w:p w14:paraId="7D65F114" w14:textId="1E366FF8" w:rsidR="008A3D12" w:rsidRPr="00AD1496" w:rsidRDefault="008A3D12" w:rsidP="008A3D12">
      <w:pPr>
        <w:pStyle w:val="Listdashlevel2"/>
        <w:rPr>
          <w:rFonts w:asciiTheme="majorHAnsi" w:hAnsiTheme="majorHAnsi" w:cstheme="majorHAnsi"/>
        </w:rPr>
      </w:pPr>
      <w:r w:rsidRPr="00AD1496">
        <w:rPr>
          <w:rFonts w:asciiTheme="majorHAnsi" w:hAnsiTheme="majorHAnsi" w:cstheme="majorHAnsi"/>
        </w:rPr>
        <w:t xml:space="preserve">f. 12 months after the Authority has made the Basin-wide Environmental Watering Strategy, or within another timeframe agreed between the Authority and Basin State, confirmation that long-term environmental watering plans for surface water resource plan areas have been developed to </w:t>
      </w:r>
      <w:r w:rsidR="00A22216" w:rsidRPr="00AD1496">
        <w:rPr>
          <w:rFonts w:asciiTheme="majorHAnsi" w:hAnsiTheme="majorHAnsi" w:cstheme="majorHAnsi"/>
        </w:rPr>
        <w:t xml:space="preserve">be </w:t>
      </w:r>
      <w:r w:rsidRPr="00AD1496">
        <w:rPr>
          <w:rFonts w:asciiTheme="majorHAnsi" w:hAnsiTheme="majorHAnsi" w:cstheme="majorHAnsi"/>
        </w:rPr>
        <w:t>consistent with the requirements of the Basin Plan.</w:t>
      </w:r>
    </w:p>
    <w:p w14:paraId="03A4979F" w14:textId="77777777" w:rsidR="008A3D12" w:rsidRPr="00AD1496" w:rsidRDefault="008A3D12" w:rsidP="00EF151F">
      <w:pPr>
        <w:rPr>
          <w:rFonts w:asciiTheme="majorHAnsi" w:hAnsiTheme="majorHAnsi" w:cstheme="majorHAnsi"/>
        </w:rPr>
      </w:pPr>
    </w:p>
    <w:p w14:paraId="231E0B3E" w14:textId="173C6969" w:rsidR="008A3D12" w:rsidRPr="00AD1496" w:rsidRDefault="008A3D12" w:rsidP="00EF151F">
      <w:pPr>
        <w:rPr>
          <w:rFonts w:asciiTheme="majorHAnsi" w:hAnsiTheme="majorHAnsi" w:cstheme="majorHAnsi"/>
        </w:rPr>
        <w:sectPr w:rsidR="008A3D12" w:rsidRPr="00AD1496" w:rsidSect="00C33880">
          <w:pgSz w:w="11906" w:h="16838" w:code="9"/>
          <w:pgMar w:top="1418" w:right="1418" w:bottom="1418" w:left="1418" w:header="567" w:footer="567" w:gutter="0"/>
          <w:cols w:space="708"/>
          <w:docGrid w:linePitch="360"/>
        </w:sectPr>
      </w:pPr>
    </w:p>
    <w:p w14:paraId="52A20996" w14:textId="77777777" w:rsidR="00E562BA" w:rsidRPr="00AD1496" w:rsidRDefault="00E562BA" w:rsidP="00807725">
      <w:pPr>
        <w:rPr>
          <w:rFonts w:asciiTheme="majorHAnsi" w:hAnsiTheme="majorHAnsi" w:cstheme="majorHAnsi"/>
        </w:rPr>
      </w:pPr>
    </w:p>
    <w:sectPr w:rsidR="00E562BA" w:rsidRPr="00AD1496" w:rsidSect="001334F9">
      <w:headerReference w:type="default" r:id="rId37"/>
      <w:footerReference w:type="default" r:id="rId38"/>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0BA2D" w14:textId="77777777" w:rsidR="00D94300" w:rsidRDefault="00D94300" w:rsidP="00E562BA">
      <w:pPr>
        <w:spacing w:after="0" w:line="240" w:lineRule="auto"/>
      </w:pPr>
      <w:r>
        <w:separator/>
      </w:r>
    </w:p>
    <w:p w14:paraId="57330133" w14:textId="77777777" w:rsidR="00D94300" w:rsidRDefault="00D94300"/>
    <w:p w14:paraId="5AC1EBD9" w14:textId="77777777" w:rsidR="00D94300" w:rsidRDefault="00D94300"/>
  </w:endnote>
  <w:endnote w:type="continuationSeparator" w:id="0">
    <w:p w14:paraId="7CA32F9F" w14:textId="77777777" w:rsidR="00D94300" w:rsidRDefault="00D94300" w:rsidP="00E562BA">
      <w:pPr>
        <w:spacing w:after="0" w:line="240" w:lineRule="auto"/>
      </w:pPr>
      <w:r>
        <w:continuationSeparator/>
      </w:r>
    </w:p>
    <w:p w14:paraId="1B66E10C" w14:textId="77777777" w:rsidR="00D94300" w:rsidRDefault="00D94300"/>
    <w:p w14:paraId="54D44D9E" w14:textId="77777777" w:rsidR="00D94300" w:rsidRDefault="00D94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Look w:val="04A0" w:firstRow="1" w:lastRow="0" w:firstColumn="1" w:lastColumn="0" w:noHBand="0" w:noVBand="1"/>
    </w:tblPr>
    <w:tblGrid>
      <w:gridCol w:w="4428"/>
      <w:gridCol w:w="2340"/>
      <w:gridCol w:w="2520"/>
    </w:tblGrid>
    <w:tr w:rsidR="00D94300" w:rsidRPr="004F4B82" w14:paraId="7E5ECFBC" w14:textId="77777777" w:rsidTr="00147661">
      <w:trPr>
        <w:trHeight w:val="1012"/>
      </w:trPr>
      <w:tc>
        <w:tcPr>
          <w:tcW w:w="4428" w:type="dxa"/>
          <w:shd w:val="clear" w:color="auto" w:fill="auto"/>
          <w:vAlign w:val="center"/>
        </w:tcPr>
        <w:p w14:paraId="289365F0" w14:textId="77777777" w:rsidR="00D94300" w:rsidRPr="004F4B82" w:rsidRDefault="00D94300" w:rsidP="00147661">
          <w:pPr>
            <w:rPr>
              <w:rFonts w:cs="Segoe UI"/>
            </w:rPr>
          </w:pPr>
          <w:r w:rsidRPr="004F4B82">
            <w:rPr>
              <w:rFonts w:cs="Segoe UI"/>
              <w:noProof/>
              <w:lang w:eastAsia="en-AU"/>
            </w:rPr>
            <w:drawing>
              <wp:inline distT="0" distB="0" distL="0" distR="0" wp14:anchorId="4A5C6277" wp14:editId="553A464C">
                <wp:extent cx="1828800" cy="522219"/>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522219"/>
                        </a:xfrm>
                        <a:prstGeom prst="rect">
                          <a:avLst/>
                        </a:prstGeom>
                        <a:noFill/>
                        <a:ln w="9525">
                          <a:noFill/>
                          <a:miter lim="800000"/>
                          <a:headEnd/>
                          <a:tailEnd/>
                        </a:ln>
                      </pic:spPr>
                    </pic:pic>
                  </a:graphicData>
                </a:graphic>
              </wp:inline>
            </w:drawing>
          </w:r>
        </w:p>
      </w:tc>
      <w:tc>
        <w:tcPr>
          <w:tcW w:w="2340" w:type="dxa"/>
          <w:shd w:val="clear" w:color="auto" w:fill="auto"/>
        </w:tcPr>
        <w:p w14:paraId="39BA640E" w14:textId="77777777" w:rsidR="00D94300" w:rsidRPr="00A832B3" w:rsidRDefault="00D94300" w:rsidP="00A832B3">
          <w:pPr>
            <w:pStyle w:val="ARTDcompanydetails"/>
          </w:pPr>
          <w:r w:rsidRPr="00A832B3">
            <w:t xml:space="preserve">ARTD Pty Ltd </w:t>
          </w:r>
        </w:p>
        <w:p w14:paraId="3E9D4BF2" w14:textId="77777777" w:rsidR="00D94300" w:rsidRPr="00A832B3" w:rsidRDefault="00D94300" w:rsidP="00A832B3">
          <w:pPr>
            <w:pStyle w:val="ARTDcompanydetails"/>
          </w:pPr>
          <w:r w:rsidRPr="00A832B3">
            <w:t xml:space="preserve">ABN 75 003 701 764 </w:t>
          </w:r>
        </w:p>
        <w:p w14:paraId="33775B1B" w14:textId="77777777" w:rsidR="00D94300" w:rsidRPr="00A832B3" w:rsidRDefault="00D94300" w:rsidP="00A832B3">
          <w:pPr>
            <w:pStyle w:val="ARTDcompanydetails"/>
          </w:pPr>
          <w:r w:rsidRPr="00A832B3">
            <w:t xml:space="preserve">Tel 02 9373 9900 </w:t>
          </w:r>
        </w:p>
      </w:tc>
      <w:tc>
        <w:tcPr>
          <w:tcW w:w="2520" w:type="dxa"/>
          <w:shd w:val="clear" w:color="auto" w:fill="auto"/>
        </w:tcPr>
        <w:p w14:paraId="04EEECA2" w14:textId="77777777" w:rsidR="00D94300" w:rsidRPr="00A832B3" w:rsidRDefault="00D94300" w:rsidP="00A832B3">
          <w:pPr>
            <w:pStyle w:val="ARTDcompanydetails"/>
          </w:pPr>
          <w:r w:rsidRPr="00A832B3">
            <w:t xml:space="preserve">Level 4, 352 Kent St Sydney </w:t>
          </w:r>
        </w:p>
        <w:p w14:paraId="5CF8C3D0" w14:textId="77777777" w:rsidR="00D94300" w:rsidRPr="00A832B3" w:rsidRDefault="00D94300" w:rsidP="00A832B3">
          <w:pPr>
            <w:pStyle w:val="ARTDcompanydetails"/>
          </w:pPr>
          <w:r w:rsidRPr="00A832B3">
            <w:t xml:space="preserve">PO Box 1167 </w:t>
          </w:r>
        </w:p>
        <w:p w14:paraId="4E7CEEE9" w14:textId="77777777" w:rsidR="00D94300" w:rsidRPr="00A832B3" w:rsidRDefault="00D94300" w:rsidP="00A832B3">
          <w:pPr>
            <w:pStyle w:val="ARTDcompanydetails"/>
          </w:pPr>
          <w:r w:rsidRPr="00A832B3">
            <w:t xml:space="preserve">Queen Victoria Building </w:t>
          </w:r>
        </w:p>
        <w:p w14:paraId="29E62D26" w14:textId="77777777" w:rsidR="00D94300" w:rsidRPr="00A832B3" w:rsidRDefault="00D94300" w:rsidP="00A832B3">
          <w:pPr>
            <w:pStyle w:val="ARTDcompanydetails"/>
          </w:pPr>
          <w:r w:rsidRPr="00A832B3">
            <w:t>NSW 1230 Australia</w:t>
          </w:r>
        </w:p>
      </w:tc>
    </w:tr>
  </w:tbl>
  <w:p w14:paraId="165463B3" w14:textId="77777777" w:rsidR="00D94300" w:rsidRPr="004F4B82" w:rsidRDefault="00D94300" w:rsidP="00EF151F">
    <w:pPr>
      <w:spacing w:after="0" w:line="240" w:lineRule="auto"/>
      <w:rPr>
        <w:rFonts w:cs="Segoe UI"/>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3310" w14:textId="77777777" w:rsidR="00D94300" w:rsidRPr="004F4B82" w:rsidRDefault="00D94300" w:rsidP="00E562BA">
    <w:pPr>
      <w:spacing w:after="0" w:line="240" w:lineRule="auto"/>
      <w:jc w:val="right"/>
      <w:rPr>
        <w:rFonts w:cs="Segoe UI"/>
        <w:szCs w:val="24"/>
      </w:rPr>
    </w:pPr>
    <w:r w:rsidRPr="004F4B82">
      <w:rPr>
        <w:rFonts w:cs="Segoe UI"/>
        <w:noProof/>
        <w:lang w:eastAsia="en-AU"/>
      </w:rPr>
      <w:drawing>
        <wp:anchor distT="0" distB="0" distL="114300" distR="114300" simplePos="0" relativeHeight="251659776" behindDoc="1" locked="0" layoutInCell="1" allowOverlap="1" wp14:anchorId="21352174" wp14:editId="0E5113BE">
          <wp:simplePos x="0" y="0"/>
          <wp:positionH relativeFrom="column">
            <wp:posOffset>115</wp:posOffset>
          </wp:positionH>
          <wp:positionV relativeFrom="paragraph">
            <wp:posOffset>42372</wp:posOffset>
          </wp:positionV>
          <wp:extent cx="1607820" cy="3291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14:sizeRelV relativeFrom="margin">
            <wp14:pctHeight>0</wp14:pctHeight>
          </wp14:sizeRelV>
        </wp:anchor>
      </w:drawing>
    </w:r>
    <w:r w:rsidRPr="004F4B82">
      <w:rPr>
        <w:rStyle w:val="PageNumber"/>
        <w:rFonts w:cs="Segoe UI"/>
        <w:szCs w:val="24"/>
      </w:rPr>
      <w:fldChar w:fldCharType="begin"/>
    </w:r>
    <w:r w:rsidRPr="004F4B82">
      <w:rPr>
        <w:rStyle w:val="PageNumber"/>
        <w:rFonts w:cs="Segoe UI"/>
        <w:szCs w:val="24"/>
      </w:rPr>
      <w:instrText xml:space="preserve"> PAGE </w:instrText>
    </w:r>
    <w:r w:rsidRPr="004F4B82">
      <w:rPr>
        <w:rStyle w:val="PageNumber"/>
        <w:rFonts w:cs="Segoe UI"/>
        <w:szCs w:val="24"/>
      </w:rPr>
      <w:fldChar w:fldCharType="separate"/>
    </w:r>
    <w:r w:rsidR="00DF313B">
      <w:rPr>
        <w:rStyle w:val="PageNumber"/>
        <w:rFonts w:cs="Segoe UI"/>
        <w:noProof/>
        <w:szCs w:val="24"/>
      </w:rPr>
      <w:t>30</w:t>
    </w:r>
    <w:r w:rsidRPr="004F4B82">
      <w:rPr>
        <w:rStyle w:val="PageNumber"/>
        <w:rFonts w:cs="Segoe UI"/>
        <w:szCs w:val="24"/>
      </w:rPr>
      <w:fldChar w:fldCharType="end"/>
    </w:r>
  </w:p>
  <w:p w14:paraId="4599D8A2" w14:textId="77777777" w:rsidR="00D94300" w:rsidRPr="004F4B82" w:rsidRDefault="00D94300" w:rsidP="00E562BA">
    <w:pPr>
      <w:spacing w:after="0" w:line="240" w:lineRule="auto"/>
      <w:rPr>
        <w:rFonts w:cs="Segoe U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213A3" w14:textId="77777777" w:rsidR="00D94300" w:rsidRPr="0068330C" w:rsidRDefault="00D94300" w:rsidP="00E562BA">
    <w:pPr>
      <w:spacing w:after="0" w:line="240" w:lineRule="auto"/>
      <w:jc w:val="right"/>
      <w:rPr>
        <w:szCs w:val="24"/>
      </w:rPr>
    </w:pPr>
  </w:p>
  <w:p w14:paraId="79883A1D" w14:textId="77777777" w:rsidR="00D94300" w:rsidRPr="0068330C" w:rsidRDefault="00D94300" w:rsidP="00E562BA">
    <w:pPr>
      <w:spacing w:after="0" w:line="240" w:lineRule="auto"/>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E0250" w14:textId="77777777" w:rsidR="00D94300" w:rsidRDefault="00D94300" w:rsidP="00B0160F">
      <w:pPr>
        <w:spacing w:after="0" w:line="240" w:lineRule="auto"/>
      </w:pPr>
      <w:r>
        <w:separator/>
      </w:r>
    </w:p>
  </w:footnote>
  <w:footnote w:type="continuationSeparator" w:id="0">
    <w:p w14:paraId="751BD768" w14:textId="5D6370D5" w:rsidR="00D94300" w:rsidRDefault="00D94300" w:rsidP="00104C46">
      <w:pPr>
        <w:spacing w:after="0" w:line="240" w:lineRule="auto"/>
      </w:pPr>
      <w:r>
        <w:continuationSeparator/>
      </w:r>
    </w:p>
  </w:footnote>
  <w:footnote w:type="continuationNotice" w:id="1">
    <w:p w14:paraId="2A4E66D9" w14:textId="77777777" w:rsidR="00D94300" w:rsidRDefault="00D94300">
      <w:pPr>
        <w:spacing w:after="0" w:line="240" w:lineRule="auto"/>
      </w:pPr>
    </w:p>
  </w:footnote>
  <w:footnote w:id="2">
    <w:p w14:paraId="358B39EF" w14:textId="7D8AC08A" w:rsidR="00D94300" w:rsidRDefault="00D94300">
      <w:pPr>
        <w:pStyle w:val="FootnoteText"/>
      </w:pPr>
      <w:r>
        <w:rPr>
          <w:rStyle w:val="FootnoteReference"/>
        </w:rPr>
        <w:footnoteRef/>
      </w:r>
      <w:r>
        <w:t xml:space="preserve"> The Basin States are New South Wales, Victoria, Queensland, South Australia and the Australian Capital Territory.</w:t>
      </w:r>
    </w:p>
  </w:footnote>
  <w:footnote w:id="3">
    <w:p w14:paraId="26E38A09" w14:textId="66B1CF93" w:rsidR="00D94300" w:rsidRDefault="00D94300">
      <w:pPr>
        <w:pStyle w:val="FootnoteText"/>
      </w:pPr>
      <w:r w:rsidRPr="009B0987">
        <w:rPr>
          <w:rStyle w:val="FootnoteReference"/>
        </w:rPr>
        <w:footnoteRef/>
      </w:r>
      <w:r w:rsidRPr="009B0987">
        <w:t xml:space="preserve"> We understand that some water purchases are still occurring to meet Bridging the Gap and (potential) efficiency measures targets.</w:t>
      </w:r>
    </w:p>
  </w:footnote>
  <w:footnote w:id="4">
    <w:p w14:paraId="002B017B" w14:textId="42B9BC4C" w:rsidR="00D94300" w:rsidRDefault="00D94300" w:rsidP="00E749AA">
      <w:pPr>
        <w:spacing w:after="0" w:line="240" w:lineRule="auto"/>
        <w:rPr>
          <w:sz w:val="20"/>
          <w:szCs w:val="20"/>
        </w:rPr>
      </w:pPr>
      <w:r>
        <w:rPr>
          <w:vertAlign w:val="superscript"/>
        </w:rPr>
        <w:footnoteRef/>
      </w:r>
      <w:r>
        <w:rPr>
          <w:sz w:val="20"/>
          <w:szCs w:val="20"/>
        </w:rPr>
        <w:t xml:space="preserve"> Payments were made in the subsequent financial year to the assessment year, but some State representatives noted that payments were made right at the end of the financial year. This caused tension between State water agencies and their respective Treasuries.</w:t>
      </w:r>
    </w:p>
  </w:footnote>
  <w:footnote w:id="5">
    <w:p w14:paraId="2A1C4573" w14:textId="112232FF" w:rsidR="00D94300" w:rsidRDefault="00D94300">
      <w:pPr>
        <w:pStyle w:val="FootnoteText"/>
      </w:pPr>
      <w:r>
        <w:rPr>
          <w:rStyle w:val="FootnoteReference"/>
        </w:rPr>
        <w:footnoteRef/>
      </w:r>
      <w:r>
        <w:t xml:space="preserve"> NSW and Queensland did not receive payment in 2012-13 under the superseded NPA signed by Victoria, South Australia and the ACT in June 2013.</w:t>
      </w:r>
    </w:p>
  </w:footnote>
  <w:footnote w:id="6">
    <w:p w14:paraId="1085DEC1" w14:textId="1E51F8D8" w:rsidR="00D94300" w:rsidRPr="00B83ABC" w:rsidRDefault="00D94300">
      <w:pPr>
        <w:pStyle w:val="FootnoteText"/>
      </w:pPr>
      <w:r>
        <w:rPr>
          <w:rStyle w:val="FootnoteReference"/>
        </w:rPr>
        <w:footnoteRef/>
      </w:r>
      <w:r>
        <w:t xml:space="preserve"> T</w:t>
      </w:r>
      <w:r w:rsidRPr="00B83ABC">
        <w:t>h</w:t>
      </w:r>
      <w:r>
        <w:t xml:space="preserve">is figure </w:t>
      </w:r>
      <w:r w:rsidRPr="00B83ABC">
        <w:t>only refer</w:t>
      </w:r>
      <w:r>
        <w:t>s</w:t>
      </w:r>
      <w:r w:rsidRPr="00B83ABC">
        <w:t xml:space="preserve"> to milestone 6, 7, 8 and 9. It should also be noted that </w:t>
      </w:r>
      <w:r>
        <w:t>the</w:t>
      </w:r>
      <w:r w:rsidRPr="00B83ABC">
        <w:t xml:space="preserve"> last reporting year </w:t>
      </w:r>
      <w:r>
        <w:t xml:space="preserve">for milestone 9 </w:t>
      </w:r>
      <w:r w:rsidRPr="00B83ABC">
        <w:t>was 2015-16.</w:t>
      </w:r>
      <w:r>
        <w:t xml:space="preserve"> </w:t>
      </w:r>
      <w:r w:rsidRPr="00B83ABC">
        <w:t>The current NPA supersedes the June 2013 NPA signed by the Vic, SA and ACT only. Both NSW and Qld signed the new NPA in February 2014.</w:t>
      </w:r>
      <w:r>
        <w:t xml:space="preserve"> </w:t>
      </w:r>
      <w:r w:rsidRPr="00B83ABC">
        <w:t>Some milestones were not applicable to certain States over the course of the agreement.</w:t>
      </w:r>
    </w:p>
  </w:footnote>
  <w:footnote w:id="7">
    <w:p w14:paraId="482B1FFB" w14:textId="5DD95B69" w:rsidR="00D94300" w:rsidRDefault="00D94300">
      <w:pPr>
        <w:pStyle w:val="FootnoteText"/>
      </w:pPr>
      <w:r>
        <w:rPr>
          <w:rStyle w:val="FootnoteReference"/>
        </w:rPr>
        <w:footnoteRef/>
      </w:r>
      <w:r>
        <w:t xml:space="preserve"> We understand that the NPA assessment arrangements were transferred to the Department of the Environment along with the relevant NWC staff.</w:t>
      </w:r>
    </w:p>
  </w:footnote>
  <w:footnote w:id="8">
    <w:p w14:paraId="465E2630" w14:textId="77777777" w:rsidR="00D94300" w:rsidRDefault="00D94300" w:rsidP="00E70FA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https://www.pc.gov.au/inquiries/completed/basin-plan/report/basin-plan.pdf</w:t>
        </w:r>
      </w:hyperlink>
      <w:r>
        <w:rPr>
          <w:sz w:val="20"/>
          <w:szCs w:val="20"/>
        </w:rPr>
        <w:t xml:space="preserve"> </w:t>
      </w:r>
    </w:p>
  </w:footnote>
  <w:footnote w:id="9">
    <w:p w14:paraId="7E3F5AC7" w14:textId="7C9F195E" w:rsidR="00D94300" w:rsidRPr="008D5FCE" w:rsidRDefault="00D94300">
      <w:pPr>
        <w:pStyle w:val="FootnoteText"/>
        <w:rPr>
          <w:lang w:val="en-US"/>
        </w:rPr>
      </w:pPr>
      <w:r>
        <w:rPr>
          <w:rStyle w:val="FootnoteReference"/>
        </w:rPr>
        <w:footnoteRef/>
      </w:r>
      <w:r>
        <w:t xml:space="preserve"> </w:t>
      </w:r>
      <w:r w:rsidRPr="008D5FCE">
        <w:t>The original version of the MDB agreement was agreed in 2008, predating the current financial framework. However the MDB agreement</w:t>
      </w:r>
      <w:r>
        <w:t>,</w:t>
      </w:r>
      <w:r w:rsidRPr="008D5FCE">
        <w:t xml:space="preserve"> as subsequently revised</w:t>
      </w:r>
      <w:r>
        <w:t>,</w:t>
      </w:r>
      <w:r w:rsidRPr="008D5FCE">
        <w:t xml:space="preserve"> is subject to the new financial framework.</w:t>
      </w:r>
    </w:p>
  </w:footnote>
  <w:footnote w:id="10">
    <w:p w14:paraId="55C5270C" w14:textId="77777777" w:rsidR="00D94300" w:rsidRDefault="00D94300" w:rsidP="00D44B6B">
      <w:pPr>
        <w:pStyle w:val="FootnoteText"/>
      </w:pPr>
      <w:r>
        <w:rPr>
          <w:rStyle w:val="FootnoteReference"/>
        </w:rPr>
        <w:footnoteRef/>
      </w:r>
      <w:r>
        <w:t xml:space="preserve"> </w:t>
      </w:r>
      <w:hyperlink r:id="rId2" w:history="1">
        <w:r w:rsidRPr="00A40EE2">
          <w:rPr>
            <w:rStyle w:val="Hyperlink"/>
          </w:rPr>
          <w:t>https://www.mdba.gov.au/basin-plan-roll-out/basin-plan/basin-plan-timeline</w:t>
        </w:r>
      </w:hyperlink>
      <w:r>
        <w:t xml:space="preserve"> </w:t>
      </w:r>
    </w:p>
  </w:footnote>
  <w:footnote w:id="11">
    <w:p w14:paraId="7A719DE7" w14:textId="27D5742A" w:rsidR="00D94300" w:rsidRDefault="00D94300" w:rsidP="000D40ED">
      <w:pPr>
        <w:pStyle w:val="FootnoteText"/>
      </w:pPr>
      <w:r>
        <w:rPr>
          <w:rStyle w:val="FootnoteReference"/>
        </w:rPr>
        <w:footnoteRef/>
      </w:r>
      <w:r>
        <w:t xml:space="preserve"> Noting that </w:t>
      </w:r>
      <w:r w:rsidRPr="008D45C8">
        <w:t xml:space="preserve">NSW </w:t>
      </w:r>
      <w:r>
        <w:t xml:space="preserve">and the ACT submitted </w:t>
      </w:r>
      <w:r w:rsidRPr="008D45C8">
        <w:t xml:space="preserve">late </w:t>
      </w:r>
      <w:r>
        <w:t xml:space="preserve">reports </w:t>
      </w:r>
      <w:r w:rsidRPr="008D45C8">
        <w:t>in 2016-17 and 2017-18</w:t>
      </w:r>
      <w:r>
        <w:t>.</w:t>
      </w:r>
    </w:p>
  </w:footnote>
  <w:footnote w:id="12">
    <w:p w14:paraId="73C390CA" w14:textId="77777777" w:rsidR="00D94300" w:rsidRDefault="00D94300" w:rsidP="000D40ED">
      <w:pPr>
        <w:spacing w:after="0" w:line="240" w:lineRule="auto"/>
        <w:rPr>
          <w:sz w:val="20"/>
          <w:szCs w:val="20"/>
        </w:rPr>
      </w:pPr>
      <w:r>
        <w:rPr>
          <w:vertAlign w:val="superscript"/>
        </w:rPr>
        <w:footnoteRef/>
      </w:r>
      <w:r>
        <w:rPr>
          <w:sz w:val="20"/>
          <w:szCs w:val="20"/>
        </w:rPr>
        <w:t xml:space="preserve"> We understand this occurred in the 2016/17 assessment period following increased scrutiny of assessment arrangements, including the need for revisions to SOAs and additional advice from MDBA and CEWO.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8F668" w14:textId="6EA88DA3" w:rsidR="00D94300" w:rsidRPr="00702919" w:rsidRDefault="00D94300" w:rsidP="00702919">
    <w:pPr>
      <w:pStyle w:val="Header"/>
      <w:tabs>
        <w:tab w:val="left" w:pos="1913"/>
      </w:tabs>
      <w:rPr>
        <w:rFonts w:cs="Segoe UI"/>
      </w:rPr>
    </w:pPr>
    <w:r>
      <w:rPr>
        <w:rFonts w:cs="Segoe UI"/>
      </w:rPr>
      <w:t>F</w:t>
    </w:r>
    <w:r w:rsidRPr="00702919">
      <w:rPr>
        <w:rFonts w:cs="Segoe UI"/>
      </w:rPr>
      <w:t>inal review</w:t>
    </w:r>
    <w:r w:rsidRPr="00702919">
      <w:rPr>
        <w:rFonts w:cs="Segoe UI"/>
      </w:rPr>
      <w:tab/>
    </w:r>
    <w:r w:rsidRPr="00702919">
      <w:rPr>
        <w:rFonts w:cs="Segoe UI"/>
      </w:rPr>
      <w:tab/>
    </w:r>
    <w:r w:rsidRPr="00702919">
      <w:rPr>
        <w:rFonts w:cs="Segoe UI"/>
      </w:rPr>
      <w:tab/>
      <w:t>NPA on implementing water reform in the MDB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F1220" w14:textId="77777777" w:rsidR="00D94300" w:rsidRDefault="00D94300">
    <w:pPr>
      <w:pStyle w:val="Header"/>
    </w:pPr>
    <w:r w:rsidRPr="00790A83">
      <w:rPr>
        <w:noProof/>
        <w:lang w:eastAsia="en-AU"/>
      </w:rPr>
      <w:drawing>
        <wp:anchor distT="0" distB="0" distL="114300" distR="114300" simplePos="0" relativeHeight="251663360" behindDoc="1" locked="0" layoutInCell="1" allowOverlap="1" wp14:anchorId="37A7ADFF" wp14:editId="36CAE80E">
          <wp:simplePos x="0" y="0"/>
          <wp:positionH relativeFrom="column">
            <wp:posOffset>-900430</wp:posOffset>
          </wp:positionH>
          <wp:positionV relativeFrom="page">
            <wp:posOffset>0</wp:posOffset>
          </wp:positionV>
          <wp:extent cx="7563484" cy="106958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D A4 Report Cover 14bOct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84" cy="10695883"/>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11C3A" w14:textId="152AD344" w:rsidR="00D94300" w:rsidRDefault="00D94300">
    <w:pPr>
      <w:pStyle w:val="Header"/>
    </w:pPr>
    <w:r>
      <w:rPr>
        <w:rFonts w:cs="Segoe UI"/>
      </w:rPr>
      <w:t>F</w:t>
    </w:r>
    <w:r w:rsidRPr="00702919">
      <w:rPr>
        <w:rFonts w:cs="Segoe UI"/>
      </w:rPr>
      <w:t>inal review</w:t>
    </w:r>
    <w:r w:rsidRPr="00702919">
      <w:rPr>
        <w:rFonts w:cs="Segoe UI"/>
      </w:rPr>
      <w:tab/>
    </w:r>
    <w:r w:rsidRPr="00702919">
      <w:rPr>
        <w:rFonts w:cs="Segoe UI"/>
      </w:rPr>
      <w:tab/>
      <w:t>NPA on implementing water reform in the MDB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D46F" w14:textId="7B42415F" w:rsidR="00D94300" w:rsidRDefault="00D94300">
    <w:pPr>
      <w:pStyle w:val="Header"/>
    </w:pPr>
    <w:r>
      <w:rPr>
        <w:rFonts w:cs="Segoe UI"/>
      </w:rPr>
      <w:t>F</w:t>
    </w:r>
    <w:r w:rsidRPr="00702919">
      <w:rPr>
        <w:rFonts w:cs="Segoe UI"/>
      </w:rPr>
      <w:t>inal review</w:t>
    </w:r>
    <w:r w:rsidRPr="00702919">
      <w:rPr>
        <w:rFonts w:cs="Segoe UI"/>
      </w:rPr>
      <w:tab/>
    </w:r>
    <w:r w:rsidRPr="00702919">
      <w:rPr>
        <w:rFonts w:cs="Segoe UI"/>
      </w:rPr>
      <w:tab/>
      <w:t>NPA on implementing water reform in the MDB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141D" w14:textId="77777777" w:rsidR="00D94300" w:rsidRDefault="00D94300">
    <w:pPr>
      <w:pStyle w:val="Header"/>
    </w:pPr>
    <w:r>
      <w:rPr>
        <w:rFonts w:cs="Segoe UI"/>
        <w:noProof/>
        <w:lang w:eastAsia="en-AU"/>
      </w:rPr>
      <w:drawing>
        <wp:anchor distT="0" distB="0" distL="114300" distR="114300" simplePos="0" relativeHeight="251660800" behindDoc="1" locked="0" layoutInCell="1" allowOverlap="1" wp14:anchorId="6600BBBA" wp14:editId="452EB23A">
          <wp:simplePos x="0" y="0"/>
          <wp:positionH relativeFrom="margin">
            <wp:align>center</wp:align>
          </wp:positionH>
          <wp:positionV relativeFrom="margin">
            <wp:align>center</wp:align>
          </wp:positionV>
          <wp:extent cx="7556223" cy="1068840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D methods - how we do our work\Reporting\Desktop publishing\2015 Templates_in progress\2 - Word templates\Back page 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23"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9806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F1C3E"/>
    <w:multiLevelType w:val="multilevel"/>
    <w:tmpl w:val="A860E952"/>
    <w:styleLink w:val="Numbers"/>
    <w:lvl w:ilvl="0">
      <w:start w:val="1"/>
      <w:numFmt w:val="decimal"/>
      <w:pStyle w:val="ListNumber"/>
      <w:lvlText w:val="%1."/>
      <w:lvlJc w:val="left"/>
      <w:pPr>
        <w:tabs>
          <w:tab w:val="num" w:pos="454"/>
        </w:tabs>
        <w:ind w:left="454" w:hanging="454"/>
      </w:pPr>
      <w:rPr>
        <w:rFonts w:hint="default"/>
      </w:rPr>
    </w:lvl>
    <w:lvl w:ilvl="1">
      <w:start w:val="1"/>
      <w:numFmt w:val="lowerLetter"/>
      <w:pStyle w:val="Listletterlevel2"/>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95091"/>
    <w:multiLevelType w:val="multilevel"/>
    <w:tmpl w:val="287EF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536672C"/>
    <w:multiLevelType w:val="hybridMultilevel"/>
    <w:tmpl w:val="B2921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C175C9"/>
    <w:multiLevelType w:val="multilevel"/>
    <w:tmpl w:val="C8D42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C94F5E"/>
    <w:multiLevelType w:val="multilevel"/>
    <w:tmpl w:val="A860E952"/>
    <w:numStyleLink w:val="Numbers"/>
  </w:abstractNum>
  <w:abstractNum w:abstractNumId="8" w15:restartNumberingAfterBreak="0">
    <w:nsid w:val="210C7510"/>
    <w:multiLevelType w:val="multilevel"/>
    <w:tmpl w:val="FD8EC2D8"/>
    <w:styleLink w:val="TableNumbers"/>
    <w:lvl w:ilvl="0">
      <w:start w:val="1"/>
      <w:numFmt w:val="decimal"/>
      <w:pStyle w:val="TableHeading"/>
      <w:lvlText w:val="Table %1."/>
      <w:lvlJc w:val="left"/>
      <w:pPr>
        <w:tabs>
          <w:tab w:val="num" w:pos="1304"/>
        </w:tabs>
        <w:ind w:left="1304" w:hanging="1304"/>
      </w:pPr>
      <w:rPr>
        <w:rFonts w:hint="default"/>
      </w:rPr>
    </w:lvl>
    <w:lvl w:ilvl="1">
      <w:start w:val="1"/>
      <w:numFmt w:val="none"/>
      <w:lvlText w:val="Tabl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167257F"/>
    <w:multiLevelType w:val="hybridMultilevel"/>
    <w:tmpl w:val="4D8EA0EA"/>
    <w:lvl w:ilvl="0" w:tplc="687E2C50">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1D66FE"/>
    <w:multiLevelType w:val="multilevel"/>
    <w:tmpl w:val="BD109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7B4C61"/>
    <w:multiLevelType w:val="hybridMultilevel"/>
    <w:tmpl w:val="C318FA8E"/>
    <w:lvl w:ilvl="0" w:tplc="0C30D2E8">
      <w:start w:val="1"/>
      <w:numFmt w:val="decimal"/>
      <w:pStyle w:val="GeneralHeading2"/>
      <w:lvlText w:val="%1."/>
      <w:lvlJc w:val="left"/>
      <w:pPr>
        <w:ind w:left="360" w:hanging="360"/>
      </w:pPr>
      <w:rPr>
        <w:rFonts w:ascii="Segoe UI" w:hAnsi="Segoe UI" w:hint="default"/>
        <w:b/>
        <w:i w:val="0"/>
        <w:color w:val="08193E"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DF0C02"/>
    <w:multiLevelType w:val="multilevel"/>
    <w:tmpl w:val="BD666272"/>
    <w:lvl w:ilvl="0">
      <w:start w:val="1"/>
      <w:numFmt w:val="decimal"/>
      <w:lvlText w:val="%1."/>
      <w:lvlJc w:val="left"/>
      <w:pPr>
        <w:ind w:left="454" w:hanging="454"/>
      </w:pPr>
    </w:lvl>
    <w:lvl w:ilvl="1">
      <w:start w:val="1"/>
      <w:numFmt w:val="lowerLetter"/>
      <w:lvlText w:val="%2)"/>
      <w:lvlJc w:val="left"/>
      <w:pPr>
        <w:ind w:left="907" w:hanging="452"/>
      </w:pPr>
    </w:lvl>
    <w:lvl w:ilvl="2">
      <w:start w:val="1"/>
      <w:numFmt w:val="decimal"/>
      <w:lvlText w:val=""/>
      <w:lvlJc w:val="left"/>
      <w:pPr>
        <w:ind w:left="1080" w:hanging="360"/>
      </w:p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3" w15:restartNumberingAfterBreak="0">
    <w:nsid w:val="31E602A5"/>
    <w:multiLevelType w:val="hybridMultilevel"/>
    <w:tmpl w:val="192896B2"/>
    <w:lvl w:ilvl="0" w:tplc="3B3E4B88">
      <w:start w:val="1"/>
      <w:numFmt w:val="low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4" w15:restartNumberingAfterBreak="0">
    <w:nsid w:val="32DD016F"/>
    <w:multiLevelType w:val="hybridMultilevel"/>
    <w:tmpl w:val="2E4C96E0"/>
    <w:lvl w:ilvl="0" w:tplc="CEB0C744">
      <w:start w:val="1"/>
      <w:numFmt w:val="low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 w15:restartNumberingAfterBreak="0">
    <w:nsid w:val="38F37522"/>
    <w:multiLevelType w:val="hybridMultilevel"/>
    <w:tmpl w:val="7FD48108"/>
    <w:lvl w:ilvl="0" w:tplc="6B82F44A">
      <w:start w:val="1"/>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D4B27"/>
    <w:multiLevelType w:val="multilevel"/>
    <w:tmpl w:val="FD8EC2D8"/>
    <w:numStyleLink w:val="TableNumbers"/>
  </w:abstractNum>
  <w:abstractNum w:abstractNumId="18"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6754CE"/>
    <w:multiLevelType w:val="hybridMultilevel"/>
    <w:tmpl w:val="7DE43924"/>
    <w:lvl w:ilvl="0" w:tplc="5BE0168C">
      <w:start w:val="1"/>
      <w:numFmt w:val="lowerRoman"/>
      <w:lvlText w:val="%1."/>
      <w:lvlJc w:val="left"/>
      <w:pPr>
        <w:ind w:left="1627" w:hanging="72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20" w15:restartNumberingAfterBreak="0">
    <w:nsid w:val="518F2CD6"/>
    <w:multiLevelType w:val="multilevel"/>
    <w:tmpl w:val="0E4E10D6"/>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1" w15:restartNumberingAfterBreak="0">
    <w:nsid w:val="5259667F"/>
    <w:multiLevelType w:val="hybridMultilevel"/>
    <w:tmpl w:val="C4404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A483BD9"/>
    <w:multiLevelType w:val="hybridMultilevel"/>
    <w:tmpl w:val="13CCE002"/>
    <w:lvl w:ilvl="0" w:tplc="EDA0A91C">
      <w:start w:val="1"/>
      <w:numFmt w:val="lowerRoman"/>
      <w:lvlText w:val="%1."/>
      <w:lvlJc w:val="left"/>
      <w:pPr>
        <w:ind w:left="1627" w:hanging="72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23"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31D2940"/>
    <w:multiLevelType w:val="multilevel"/>
    <w:tmpl w:val="3DE617F8"/>
    <w:numStyleLink w:val="FigureNumbers"/>
  </w:abstractNum>
  <w:abstractNum w:abstractNumId="25" w15:restartNumberingAfterBreak="0">
    <w:nsid w:val="6E952781"/>
    <w:multiLevelType w:val="hybridMultilevel"/>
    <w:tmpl w:val="47C83790"/>
    <w:lvl w:ilvl="0" w:tplc="140A1FB8">
      <w:start w:val="1"/>
      <w:numFmt w:val="decimal"/>
      <w:pStyle w:val="Appendix"/>
      <w:lvlText w:val="Appendix %1."/>
      <w:lvlJc w:val="left"/>
      <w:pPr>
        <w:ind w:left="360" w:hanging="360"/>
      </w:pPr>
      <w:rPr>
        <w:rFonts w:cs="Times New Roman"/>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AE2FF6"/>
    <w:multiLevelType w:val="hybridMultilevel"/>
    <w:tmpl w:val="4F1C6BF8"/>
    <w:lvl w:ilvl="0" w:tplc="CEFA0A2E">
      <w:start w:val="1"/>
      <w:numFmt w:val="bullet"/>
      <w:pStyle w:val="Boxbullets"/>
      <w:lvlText w:val=""/>
      <w:lvlJc w:val="left"/>
      <w:pPr>
        <w:ind w:left="360" w:hanging="360"/>
      </w:pPr>
      <w:rPr>
        <w:rFonts w:ascii="Wingdings" w:hAnsi="Wingdings" w:hint="default"/>
        <w:caps w:val="0"/>
        <w:strike w:val="0"/>
        <w:dstrike w:val="0"/>
        <w:vanish w:val="0"/>
        <w:color w:val="000000"/>
        <w:sz w:val="22"/>
        <w:vertAlign w:val="baseline"/>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F12235"/>
    <w:multiLevelType w:val="hybridMultilevel"/>
    <w:tmpl w:val="85F8161C"/>
    <w:lvl w:ilvl="0" w:tplc="08003534">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DC730B"/>
    <w:multiLevelType w:val="multilevel"/>
    <w:tmpl w:val="8A241682"/>
    <w:lvl w:ilvl="0">
      <w:start w:val="1"/>
      <w:numFmt w:val="bullet"/>
      <w:lvlText w:val="▪"/>
      <w:lvlJc w:val="left"/>
      <w:pPr>
        <w:ind w:left="454" w:hanging="454"/>
      </w:pPr>
      <w:rPr>
        <w:rFonts w:ascii="Noto Sans Symbols" w:eastAsia="Noto Sans Symbols" w:hAnsi="Noto Sans Symbols" w:cs="Noto Sans Symbols"/>
      </w:rPr>
    </w:lvl>
    <w:lvl w:ilvl="1">
      <w:start w:val="1"/>
      <w:numFmt w:val="bullet"/>
      <w:lvlText w:val="–"/>
      <w:lvlJc w:val="left"/>
      <w:pPr>
        <w:ind w:left="907" w:hanging="452"/>
      </w:pPr>
      <w:rPr>
        <w:rFonts w:ascii="Arial" w:eastAsia="Arial" w:hAnsi="Arial" w:cs="Arial"/>
      </w:rPr>
    </w:lvl>
    <w:lvl w:ilvl="2">
      <w:start w:val="1"/>
      <w:numFmt w:val="decimal"/>
      <w:lvlText w:val=""/>
      <w:lvlJc w:val="left"/>
      <w:pPr>
        <w:ind w:left="907" w:hanging="452"/>
      </w:pPr>
    </w:lvl>
    <w:lvl w:ilvl="3">
      <w:start w:val="1"/>
      <w:numFmt w:val="decimal"/>
      <w:lvlText w:val=""/>
      <w:lvlJc w:val="left"/>
      <w:pPr>
        <w:ind w:left="454" w:hanging="454"/>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29" w15:restartNumberingAfterBreak="0">
    <w:nsid w:val="7DD36E97"/>
    <w:multiLevelType w:val="multilevel"/>
    <w:tmpl w:val="0C207A9A"/>
    <w:numStyleLink w:val="Bullets"/>
  </w:abstractNum>
  <w:num w:numId="1">
    <w:abstractNumId w:val="9"/>
  </w:num>
  <w:num w:numId="2">
    <w:abstractNumId w:val="16"/>
  </w:num>
  <w:num w:numId="3">
    <w:abstractNumId w:val="2"/>
  </w:num>
  <w:num w:numId="4">
    <w:abstractNumId w:val="18"/>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6"/>
  </w:num>
  <w:num w:numId="9">
    <w:abstractNumId w:val="8"/>
  </w:num>
  <w:num w:numId="10">
    <w:abstractNumId w:val="23"/>
  </w:num>
  <w:num w:numId="11">
    <w:abstractNumId w:val="24"/>
  </w:num>
  <w:num w:numId="12">
    <w:abstractNumId w:val="17"/>
  </w:num>
  <w:num w:numId="13">
    <w:abstractNumId w:val="1"/>
  </w:num>
  <w:num w:numId="14">
    <w:abstractNumId w:val="7"/>
  </w:num>
  <w:num w:numId="15">
    <w:abstractNumId w:val="29"/>
  </w:num>
  <w:num w:numId="16">
    <w:abstractNumId w:val="11"/>
  </w:num>
  <w:num w:numId="17">
    <w:abstractNumId w:val="25"/>
  </w:num>
  <w:num w:numId="18">
    <w:abstractNumId w:val="3"/>
  </w:num>
  <w:num w:numId="19">
    <w:abstractNumId w:val="28"/>
  </w:num>
  <w:num w:numId="20">
    <w:abstractNumId w:val="6"/>
  </w:num>
  <w:num w:numId="21">
    <w:abstractNumId w:val="10"/>
  </w:num>
  <w:num w:numId="22">
    <w:abstractNumId w:val="12"/>
  </w:num>
  <w:num w:numId="23">
    <w:abstractNumId w:val="22"/>
  </w:num>
  <w:num w:numId="24">
    <w:abstractNumId w:val="13"/>
  </w:num>
  <w:num w:numId="25">
    <w:abstractNumId w:val="19"/>
  </w:num>
  <w:num w:numId="26">
    <w:abstractNumId w:val="14"/>
  </w:num>
  <w:num w:numId="27">
    <w:abstractNumId w:val="20"/>
  </w:num>
  <w:num w:numId="28">
    <w:abstractNumId w:val="15"/>
  </w:num>
  <w:num w:numId="29">
    <w:abstractNumId w:val="5"/>
  </w:num>
  <w:num w:numId="30">
    <w:abstractNumId w:val="21"/>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rawingGridHorizontalSpacing w:val="105"/>
  <w:displayHorizontalDrawingGridEvery w:val="2"/>
  <w:characterSpacingControl w:val="doNotCompress"/>
  <w:hdrShapeDefaults>
    <o:shapedefaults v:ext="edit" spidmax="2467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F7D"/>
    <w:rsid w:val="00000A49"/>
    <w:rsid w:val="00000F18"/>
    <w:rsid w:val="00001F82"/>
    <w:rsid w:val="000115BD"/>
    <w:rsid w:val="000120FD"/>
    <w:rsid w:val="0001374C"/>
    <w:rsid w:val="00014161"/>
    <w:rsid w:val="00015785"/>
    <w:rsid w:val="00015AC6"/>
    <w:rsid w:val="00015B3D"/>
    <w:rsid w:val="00016343"/>
    <w:rsid w:val="0001668B"/>
    <w:rsid w:val="000167B4"/>
    <w:rsid w:val="0002056C"/>
    <w:rsid w:val="00023461"/>
    <w:rsid w:val="00025766"/>
    <w:rsid w:val="00027126"/>
    <w:rsid w:val="000334D5"/>
    <w:rsid w:val="000349C1"/>
    <w:rsid w:val="00034D90"/>
    <w:rsid w:val="0003692F"/>
    <w:rsid w:val="00045198"/>
    <w:rsid w:val="000517DC"/>
    <w:rsid w:val="000536CA"/>
    <w:rsid w:val="00053A58"/>
    <w:rsid w:val="00056773"/>
    <w:rsid w:val="000577E8"/>
    <w:rsid w:val="00063741"/>
    <w:rsid w:val="00063E86"/>
    <w:rsid w:val="0006447B"/>
    <w:rsid w:val="000765EC"/>
    <w:rsid w:val="00080030"/>
    <w:rsid w:val="00081C8D"/>
    <w:rsid w:val="00084633"/>
    <w:rsid w:val="00087199"/>
    <w:rsid w:val="00090E8F"/>
    <w:rsid w:val="00092E62"/>
    <w:rsid w:val="0009750D"/>
    <w:rsid w:val="000A15B1"/>
    <w:rsid w:val="000A3F8D"/>
    <w:rsid w:val="000A6027"/>
    <w:rsid w:val="000A7DD0"/>
    <w:rsid w:val="000B01EC"/>
    <w:rsid w:val="000B08A1"/>
    <w:rsid w:val="000B190A"/>
    <w:rsid w:val="000B1B50"/>
    <w:rsid w:val="000B4DD9"/>
    <w:rsid w:val="000B6B90"/>
    <w:rsid w:val="000B7456"/>
    <w:rsid w:val="000B7780"/>
    <w:rsid w:val="000C081C"/>
    <w:rsid w:val="000C0D45"/>
    <w:rsid w:val="000C116D"/>
    <w:rsid w:val="000C13A9"/>
    <w:rsid w:val="000C308E"/>
    <w:rsid w:val="000C423D"/>
    <w:rsid w:val="000C4C95"/>
    <w:rsid w:val="000C5851"/>
    <w:rsid w:val="000C5F04"/>
    <w:rsid w:val="000C78B0"/>
    <w:rsid w:val="000D1489"/>
    <w:rsid w:val="000D1FE4"/>
    <w:rsid w:val="000D40ED"/>
    <w:rsid w:val="000D4A52"/>
    <w:rsid w:val="000D6131"/>
    <w:rsid w:val="000D63AC"/>
    <w:rsid w:val="000D7B22"/>
    <w:rsid w:val="000E01E9"/>
    <w:rsid w:val="000E061B"/>
    <w:rsid w:val="000E40BB"/>
    <w:rsid w:val="000F4A64"/>
    <w:rsid w:val="000F4D34"/>
    <w:rsid w:val="000F7350"/>
    <w:rsid w:val="00103A3B"/>
    <w:rsid w:val="00104C46"/>
    <w:rsid w:val="00113600"/>
    <w:rsid w:val="00113CEF"/>
    <w:rsid w:val="00130C47"/>
    <w:rsid w:val="00131063"/>
    <w:rsid w:val="001320F7"/>
    <w:rsid w:val="00132453"/>
    <w:rsid w:val="001334F9"/>
    <w:rsid w:val="00133768"/>
    <w:rsid w:val="00134461"/>
    <w:rsid w:val="0013534A"/>
    <w:rsid w:val="00136937"/>
    <w:rsid w:val="00137989"/>
    <w:rsid w:val="00137A93"/>
    <w:rsid w:val="00140806"/>
    <w:rsid w:val="001413FB"/>
    <w:rsid w:val="00142D6A"/>
    <w:rsid w:val="001437D8"/>
    <w:rsid w:val="001458FE"/>
    <w:rsid w:val="001464B2"/>
    <w:rsid w:val="00147661"/>
    <w:rsid w:val="00151859"/>
    <w:rsid w:val="00151D33"/>
    <w:rsid w:val="00152D93"/>
    <w:rsid w:val="0015353C"/>
    <w:rsid w:val="00155050"/>
    <w:rsid w:val="00156B20"/>
    <w:rsid w:val="00160017"/>
    <w:rsid w:val="00161C8A"/>
    <w:rsid w:val="0016337E"/>
    <w:rsid w:val="00163FBD"/>
    <w:rsid w:val="00165203"/>
    <w:rsid w:val="00166AAE"/>
    <w:rsid w:val="00166D63"/>
    <w:rsid w:val="0017090F"/>
    <w:rsid w:val="0017194E"/>
    <w:rsid w:val="001802C4"/>
    <w:rsid w:val="00181531"/>
    <w:rsid w:val="00181AE8"/>
    <w:rsid w:val="00181FD8"/>
    <w:rsid w:val="00182CBC"/>
    <w:rsid w:val="0018366D"/>
    <w:rsid w:val="00183BB2"/>
    <w:rsid w:val="001842BF"/>
    <w:rsid w:val="00186964"/>
    <w:rsid w:val="00186E8E"/>
    <w:rsid w:val="00190742"/>
    <w:rsid w:val="001907A3"/>
    <w:rsid w:val="00192B1D"/>
    <w:rsid w:val="001942B5"/>
    <w:rsid w:val="0019558F"/>
    <w:rsid w:val="001957F3"/>
    <w:rsid w:val="00197833"/>
    <w:rsid w:val="001A05B3"/>
    <w:rsid w:val="001A0704"/>
    <w:rsid w:val="001A21AE"/>
    <w:rsid w:val="001A233E"/>
    <w:rsid w:val="001A5F9C"/>
    <w:rsid w:val="001A6053"/>
    <w:rsid w:val="001A66C5"/>
    <w:rsid w:val="001B0309"/>
    <w:rsid w:val="001B1433"/>
    <w:rsid w:val="001B17A3"/>
    <w:rsid w:val="001B1A08"/>
    <w:rsid w:val="001B2D22"/>
    <w:rsid w:val="001B6E85"/>
    <w:rsid w:val="001B7265"/>
    <w:rsid w:val="001C2734"/>
    <w:rsid w:val="001C3126"/>
    <w:rsid w:val="001C52FD"/>
    <w:rsid w:val="001C703D"/>
    <w:rsid w:val="001C72AB"/>
    <w:rsid w:val="001D004B"/>
    <w:rsid w:val="001D0A2F"/>
    <w:rsid w:val="001D36AA"/>
    <w:rsid w:val="001D5A61"/>
    <w:rsid w:val="001D681D"/>
    <w:rsid w:val="001E184E"/>
    <w:rsid w:val="001E2C53"/>
    <w:rsid w:val="001E3440"/>
    <w:rsid w:val="001E405E"/>
    <w:rsid w:val="001E4B3E"/>
    <w:rsid w:val="001E5100"/>
    <w:rsid w:val="001E67F2"/>
    <w:rsid w:val="001E6804"/>
    <w:rsid w:val="001F0366"/>
    <w:rsid w:val="001F5785"/>
    <w:rsid w:val="001F69A9"/>
    <w:rsid w:val="00201627"/>
    <w:rsid w:val="00201821"/>
    <w:rsid w:val="00202AC5"/>
    <w:rsid w:val="00202F17"/>
    <w:rsid w:val="0020306B"/>
    <w:rsid w:val="00203259"/>
    <w:rsid w:val="002044AE"/>
    <w:rsid w:val="0020634A"/>
    <w:rsid w:val="002073FC"/>
    <w:rsid w:val="00207A13"/>
    <w:rsid w:val="00214DA5"/>
    <w:rsid w:val="0022420E"/>
    <w:rsid w:val="00224C1C"/>
    <w:rsid w:val="00225AA3"/>
    <w:rsid w:val="00232321"/>
    <w:rsid w:val="00233929"/>
    <w:rsid w:val="00235760"/>
    <w:rsid w:val="00235D3D"/>
    <w:rsid w:val="002375FD"/>
    <w:rsid w:val="00241E76"/>
    <w:rsid w:val="00241EBD"/>
    <w:rsid w:val="00242F23"/>
    <w:rsid w:val="00243209"/>
    <w:rsid w:val="00243661"/>
    <w:rsid w:val="00247649"/>
    <w:rsid w:val="002500E8"/>
    <w:rsid w:val="00251F7F"/>
    <w:rsid w:val="0025532A"/>
    <w:rsid w:val="00255CBB"/>
    <w:rsid w:val="00261A8B"/>
    <w:rsid w:val="00261E2A"/>
    <w:rsid w:val="00262BC4"/>
    <w:rsid w:val="002644E8"/>
    <w:rsid w:val="00264ABA"/>
    <w:rsid w:val="00266A91"/>
    <w:rsid w:val="0027296A"/>
    <w:rsid w:val="002737CC"/>
    <w:rsid w:val="002817C4"/>
    <w:rsid w:val="002836D4"/>
    <w:rsid w:val="002836F4"/>
    <w:rsid w:val="002847E9"/>
    <w:rsid w:val="00287481"/>
    <w:rsid w:val="00287F96"/>
    <w:rsid w:val="00292D8E"/>
    <w:rsid w:val="002931F0"/>
    <w:rsid w:val="00293DCD"/>
    <w:rsid w:val="00297600"/>
    <w:rsid w:val="00297A9B"/>
    <w:rsid w:val="002A1D34"/>
    <w:rsid w:val="002A4AEA"/>
    <w:rsid w:val="002A78FE"/>
    <w:rsid w:val="002B0393"/>
    <w:rsid w:val="002B0A8F"/>
    <w:rsid w:val="002B112F"/>
    <w:rsid w:val="002B2BFA"/>
    <w:rsid w:val="002B413F"/>
    <w:rsid w:val="002B487E"/>
    <w:rsid w:val="002B74C4"/>
    <w:rsid w:val="002C0C30"/>
    <w:rsid w:val="002C24FE"/>
    <w:rsid w:val="002C7099"/>
    <w:rsid w:val="002C7327"/>
    <w:rsid w:val="002D0ADF"/>
    <w:rsid w:val="002D5B75"/>
    <w:rsid w:val="002D5E96"/>
    <w:rsid w:val="002D69E9"/>
    <w:rsid w:val="002D7646"/>
    <w:rsid w:val="002D7B07"/>
    <w:rsid w:val="002E6465"/>
    <w:rsid w:val="002E711F"/>
    <w:rsid w:val="002E7612"/>
    <w:rsid w:val="002E7D4F"/>
    <w:rsid w:val="002F1C2B"/>
    <w:rsid w:val="002F424D"/>
    <w:rsid w:val="002F5167"/>
    <w:rsid w:val="002F599D"/>
    <w:rsid w:val="002F5FE1"/>
    <w:rsid w:val="002F71C1"/>
    <w:rsid w:val="00303CE3"/>
    <w:rsid w:val="00306178"/>
    <w:rsid w:val="003062E1"/>
    <w:rsid w:val="00311160"/>
    <w:rsid w:val="0031343D"/>
    <w:rsid w:val="00315ABB"/>
    <w:rsid w:val="003176DF"/>
    <w:rsid w:val="00317BC9"/>
    <w:rsid w:val="0032141A"/>
    <w:rsid w:val="0032288A"/>
    <w:rsid w:val="0032416A"/>
    <w:rsid w:val="00326137"/>
    <w:rsid w:val="0032665C"/>
    <w:rsid w:val="003307B0"/>
    <w:rsid w:val="0033259D"/>
    <w:rsid w:val="003332AA"/>
    <w:rsid w:val="00335BDD"/>
    <w:rsid w:val="0033743C"/>
    <w:rsid w:val="00337B0C"/>
    <w:rsid w:val="00341134"/>
    <w:rsid w:val="00342920"/>
    <w:rsid w:val="00344D39"/>
    <w:rsid w:val="003460A5"/>
    <w:rsid w:val="00346153"/>
    <w:rsid w:val="0034635F"/>
    <w:rsid w:val="003505AA"/>
    <w:rsid w:val="00351021"/>
    <w:rsid w:val="003518C0"/>
    <w:rsid w:val="00353C82"/>
    <w:rsid w:val="0035420D"/>
    <w:rsid w:val="0035734E"/>
    <w:rsid w:val="003576A2"/>
    <w:rsid w:val="00357808"/>
    <w:rsid w:val="0036059A"/>
    <w:rsid w:val="00362223"/>
    <w:rsid w:val="00363BFA"/>
    <w:rsid w:val="0036447F"/>
    <w:rsid w:val="0036749E"/>
    <w:rsid w:val="00372846"/>
    <w:rsid w:val="00373A6B"/>
    <w:rsid w:val="00373FFC"/>
    <w:rsid w:val="00375A19"/>
    <w:rsid w:val="00376ECA"/>
    <w:rsid w:val="0038060A"/>
    <w:rsid w:val="00384F5E"/>
    <w:rsid w:val="003865BB"/>
    <w:rsid w:val="00387AD0"/>
    <w:rsid w:val="00387FB0"/>
    <w:rsid w:val="00391143"/>
    <w:rsid w:val="00391521"/>
    <w:rsid w:val="003943F0"/>
    <w:rsid w:val="0039598F"/>
    <w:rsid w:val="00397A6A"/>
    <w:rsid w:val="00397F91"/>
    <w:rsid w:val="003A15CB"/>
    <w:rsid w:val="003A1B0A"/>
    <w:rsid w:val="003A48C8"/>
    <w:rsid w:val="003A4AB7"/>
    <w:rsid w:val="003B38CB"/>
    <w:rsid w:val="003B7829"/>
    <w:rsid w:val="003C06A0"/>
    <w:rsid w:val="003C219B"/>
    <w:rsid w:val="003C21E9"/>
    <w:rsid w:val="003C3520"/>
    <w:rsid w:val="003C3A59"/>
    <w:rsid w:val="003C484F"/>
    <w:rsid w:val="003C57F0"/>
    <w:rsid w:val="003C7D89"/>
    <w:rsid w:val="003D3C50"/>
    <w:rsid w:val="003D4D69"/>
    <w:rsid w:val="003D5219"/>
    <w:rsid w:val="003D7813"/>
    <w:rsid w:val="003D783E"/>
    <w:rsid w:val="003E13F8"/>
    <w:rsid w:val="003E1CAF"/>
    <w:rsid w:val="003E1CB6"/>
    <w:rsid w:val="003E2A2B"/>
    <w:rsid w:val="003E2D4A"/>
    <w:rsid w:val="003E5059"/>
    <w:rsid w:val="003E7036"/>
    <w:rsid w:val="003F20D3"/>
    <w:rsid w:val="003F31F4"/>
    <w:rsid w:val="003F52F0"/>
    <w:rsid w:val="003F56B9"/>
    <w:rsid w:val="00402C74"/>
    <w:rsid w:val="00402F27"/>
    <w:rsid w:val="00403541"/>
    <w:rsid w:val="00404229"/>
    <w:rsid w:val="00417059"/>
    <w:rsid w:val="0042023E"/>
    <w:rsid w:val="00420E22"/>
    <w:rsid w:val="0042194F"/>
    <w:rsid w:val="004223B3"/>
    <w:rsid w:val="00422500"/>
    <w:rsid w:val="0042385C"/>
    <w:rsid w:val="00424A04"/>
    <w:rsid w:val="00424B6A"/>
    <w:rsid w:val="0042554C"/>
    <w:rsid w:val="00426134"/>
    <w:rsid w:val="0043003A"/>
    <w:rsid w:val="00431C6B"/>
    <w:rsid w:val="00432A5B"/>
    <w:rsid w:val="00433202"/>
    <w:rsid w:val="00433A68"/>
    <w:rsid w:val="0043540B"/>
    <w:rsid w:val="00436A24"/>
    <w:rsid w:val="00441DEC"/>
    <w:rsid w:val="00447056"/>
    <w:rsid w:val="00447468"/>
    <w:rsid w:val="00451364"/>
    <w:rsid w:val="004536BC"/>
    <w:rsid w:val="004559BE"/>
    <w:rsid w:val="00461668"/>
    <w:rsid w:val="004622BB"/>
    <w:rsid w:val="00462B93"/>
    <w:rsid w:val="0046459B"/>
    <w:rsid w:val="0046611E"/>
    <w:rsid w:val="00466B56"/>
    <w:rsid w:val="00467436"/>
    <w:rsid w:val="00472831"/>
    <w:rsid w:val="00472BC3"/>
    <w:rsid w:val="00474952"/>
    <w:rsid w:val="0047615A"/>
    <w:rsid w:val="004765AE"/>
    <w:rsid w:val="004768B5"/>
    <w:rsid w:val="004809BE"/>
    <w:rsid w:val="00490870"/>
    <w:rsid w:val="00491FD7"/>
    <w:rsid w:val="0049237F"/>
    <w:rsid w:val="00495ADD"/>
    <w:rsid w:val="00495F6A"/>
    <w:rsid w:val="004A00BC"/>
    <w:rsid w:val="004A0CBF"/>
    <w:rsid w:val="004A1778"/>
    <w:rsid w:val="004A322C"/>
    <w:rsid w:val="004A7941"/>
    <w:rsid w:val="004B3EAB"/>
    <w:rsid w:val="004B48CC"/>
    <w:rsid w:val="004C0DAA"/>
    <w:rsid w:val="004C3016"/>
    <w:rsid w:val="004C4463"/>
    <w:rsid w:val="004D167D"/>
    <w:rsid w:val="004D33B7"/>
    <w:rsid w:val="004D68AF"/>
    <w:rsid w:val="004E181E"/>
    <w:rsid w:val="004E2E85"/>
    <w:rsid w:val="004E3F9D"/>
    <w:rsid w:val="004E4F7B"/>
    <w:rsid w:val="004F1AE7"/>
    <w:rsid w:val="004F2F87"/>
    <w:rsid w:val="004F4C01"/>
    <w:rsid w:val="004F5DD0"/>
    <w:rsid w:val="004F6256"/>
    <w:rsid w:val="00501371"/>
    <w:rsid w:val="005017AC"/>
    <w:rsid w:val="005107F4"/>
    <w:rsid w:val="00512C05"/>
    <w:rsid w:val="0051315F"/>
    <w:rsid w:val="005132B3"/>
    <w:rsid w:val="005175CC"/>
    <w:rsid w:val="005223D5"/>
    <w:rsid w:val="005226D4"/>
    <w:rsid w:val="0052516B"/>
    <w:rsid w:val="00526E18"/>
    <w:rsid w:val="00531066"/>
    <w:rsid w:val="00531EAA"/>
    <w:rsid w:val="00540755"/>
    <w:rsid w:val="005428E8"/>
    <w:rsid w:val="0054795F"/>
    <w:rsid w:val="00552A82"/>
    <w:rsid w:val="00553AEA"/>
    <w:rsid w:val="00554808"/>
    <w:rsid w:val="00557C0B"/>
    <w:rsid w:val="00561904"/>
    <w:rsid w:val="00562090"/>
    <w:rsid w:val="005673C0"/>
    <w:rsid w:val="00570EED"/>
    <w:rsid w:val="00571067"/>
    <w:rsid w:val="005715B7"/>
    <w:rsid w:val="00572867"/>
    <w:rsid w:val="005763FB"/>
    <w:rsid w:val="00577432"/>
    <w:rsid w:val="005817B6"/>
    <w:rsid w:val="00581EC0"/>
    <w:rsid w:val="00582766"/>
    <w:rsid w:val="00585532"/>
    <w:rsid w:val="00590DD0"/>
    <w:rsid w:val="00591886"/>
    <w:rsid w:val="00594417"/>
    <w:rsid w:val="00595BD1"/>
    <w:rsid w:val="0059625F"/>
    <w:rsid w:val="0059633B"/>
    <w:rsid w:val="0059693F"/>
    <w:rsid w:val="00596A16"/>
    <w:rsid w:val="005A35FC"/>
    <w:rsid w:val="005A61A5"/>
    <w:rsid w:val="005B07FD"/>
    <w:rsid w:val="005B0A91"/>
    <w:rsid w:val="005B52E1"/>
    <w:rsid w:val="005C6923"/>
    <w:rsid w:val="005D1B1E"/>
    <w:rsid w:val="005D7D59"/>
    <w:rsid w:val="005E0F56"/>
    <w:rsid w:val="005E3BBD"/>
    <w:rsid w:val="005E438B"/>
    <w:rsid w:val="005E5640"/>
    <w:rsid w:val="005E5FEF"/>
    <w:rsid w:val="005E7C92"/>
    <w:rsid w:val="005F1B09"/>
    <w:rsid w:val="005F39F0"/>
    <w:rsid w:val="005F40BD"/>
    <w:rsid w:val="005F6022"/>
    <w:rsid w:val="005F64B0"/>
    <w:rsid w:val="005F6631"/>
    <w:rsid w:val="005F7338"/>
    <w:rsid w:val="006000B4"/>
    <w:rsid w:val="00600B6C"/>
    <w:rsid w:val="00600DFF"/>
    <w:rsid w:val="00604372"/>
    <w:rsid w:val="006062D8"/>
    <w:rsid w:val="006064BB"/>
    <w:rsid w:val="00606F37"/>
    <w:rsid w:val="00613B72"/>
    <w:rsid w:val="00614DAB"/>
    <w:rsid w:val="00614E10"/>
    <w:rsid w:val="00615ACA"/>
    <w:rsid w:val="00617873"/>
    <w:rsid w:val="00620DF2"/>
    <w:rsid w:val="00621416"/>
    <w:rsid w:val="0062334C"/>
    <w:rsid w:val="006257C6"/>
    <w:rsid w:val="00630F53"/>
    <w:rsid w:val="006338E8"/>
    <w:rsid w:val="00633AAB"/>
    <w:rsid w:val="0063502B"/>
    <w:rsid w:val="006359D9"/>
    <w:rsid w:val="006409B1"/>
    <w:rsid w:val="00642C52"/>
    <w:rsid w:val="00644AA2"/>
    <w:rsid w:val="006454AC"/>
    <w:rsid w:val="00645AEB"/>
    <w:rsid w:val="00645D13"/>
    <w:rsid w:val="00646725"/>
    <w:rsid w:val="00650691"/>
    <w:rsid w:val="006538C8"/>
    <w:rsid w:val="00654128"/>
    <w:rsid w:val="00654817"/>
    <w:rsid w:val="00657253"/>
    <w:rsid w:val="0065760A"/>
    <w:rsid w:val="00660CA9"/>
    <w:rsid w:val="00661DE0"/>
    <w:rsid w:val="00664337"/>
    <w:rsid w:val="0066480F"/>
    <w:rsid w:val="00664A7C"/>
    <w:rsid w:val="00664BF6"/>
    <w:rsid w:val="00664CBE"/>
    <w:rsid w:val="0067297F"/>
    <w:rsid w:val="00673187"/>
    <w:rsid w:val="006754F4"/>
    <w:rsid w:val="00676AB4"/>
    <w:rsid w:val="0067763D"/>
    <w:rsid w:val="006810EB"/>
    <w:rsid w:val="00681FE9"/>
    <w:rsid w:val="00682060"/>
    <w:rsid w:val="00683485"/>
    <w:rsid w:val="006834F4"/>
    <w:rsid w:val="00685BD7"/>
    <w:rsid w:val="00690B7B"/>
    <w:rsid w:val="00691206"/>
    <w:rsid w:val="00692489"/>
    <w:rsid w:val="00693EEE"/>
    <w:rsid w:val="006951D5"/>
    <w:rsid w:val="006976E1"/>
    <w:rsid w:val="006A0CF2"/>
    <w:rsid w:val="006A2244"/>
    <w:rsid w:val="006A3555"/>
    <w:rsid w:val="006A6C62"/>
    <w:rsid w:val="006B4E3C"/>
    <w:rsid w:val="006B5832"/>
    <w:rsid w:val="006B5A1D"/>
    <w:rsid w:val="006B7771"/>
    <w:rsid w:val="006C3B2C"/>
    <w:rsid w:val="006D6048"/>
    <w:rsid w:val="006D625B"/>
    <w:rsid w:val="006E0E0A"/>
    <w:rsid w:val="006E1FFB"/>
    <w:rsid w:val="006E2DDA"/>
    <w:rsid w:val="006E309A"/>
    <w:rsid w:val="006E31E0"/>
    <w:rsid w:val="006E46C0"/>
    <w:rsid w:val="006E79B2"/>
    <w:rsid w:val="006F1D91"/>
    <w:rsid w:val="006F1F0F"/>
    <w:rsid w:val="006F2146"/>
    <w:rsid w:val="006F451E"/>
    <w:rsid w:val="006F45DB"/>
    <w:rsid w:val="006F79A0"/>
    <w:rsid w:val="00701508"/>
    <w:rsid w:val="00702919"/>
    <w:rsid w:val="007039F6"/>
    <w:rsid w:val="00703A4C"/>
    <w:rsid w:val="00704E0E"/>
    <w:rsid w:val="007057AF"/>
    <w:rsid w:val="00706477"/>
    <w:rsid w:val="007064D6"/>
    <w:rsid w:val="0071037D"/>
    <w:rsid w:val="00710AB1"/>
    <w:rsid w:val="00711C20"/>
    <w:rsid w:val="00714BBE"/>
    <w:rsid w:val="007162E5"/>
    <w:rsid w:val="00722E89"/>
    <w:rsid w:val="0072491E"/>
    <w:rsid w:val="00726E3E"/>
    <w:rsid w:val="00731C8C"/>
    <w:rsid w:val="00733A2E"/>
    <w:rsid w:val="00734D37"/>
    <w:rsid w:val="0074505F"/>
    <w:rsid w:val="0074775C"/>
    <w:rsid w:val="007477FE"/>
    <w:rsid w:val="00747932"/>
    <w:rsid w:val="00747944"/>
    <w:rsid w:val="0075077E"/>
    <w:rsid w:val="00751CE7"/>
    <w:rsid w:val="00753646"/>
    <w:rsid w:val="007546E0"/>
    <w:rsid w:val="007566E5"/>
    <w:rsid w:val="00756726"/>
    <w:rsid w:val="007638B1"/>
    <w:rsid w:val="007667DE"/>
    <w:rsid w:val="00770A87"/>
    <w:rsid w:val="00776871"/>
    <w:rsid w:val="00790A83"/>
    <w:rsid w:val="00792CEB"/>
    <w:rsid w:val="00793EC2"/>
    <w:rsid w:val="00793F93"/>
    <w:rsid w:val="00795B41"/>
    <w:rsid w:val="00795CAD"/>
    <w:rsid w:val="0079799F"/>
    <w:rsid w:val="007A065E"/>
    <w:rsid w:val="007A1311"/>
    <w:rsid w:val="007A1651"/>
    <w:rsid w:val="007A4F4D"/>
    <w:rsid w:val="007A61BD"/>
    <w:rsid w:val="007A69DF"/>
    <w:rsid w:val="007A7FE9"/>
    <w:rsid w:val="007B347E"/>
    <w:rsid w:val="007B44C2"/>
    <w:rsid w:val="007B6AEE"/>
    <w:rsid w:val="007B799E"/>
    <w:rsid w:val="007C2262"/>
    <w:rsid w:val="007C3404"/>
    <w:rsid w:val="007C5BC7"/>
    <w:rsid w:val="007D2F01"/>
    <w:rsid w:val="007E4755"/>
    <w:rsid w:val="007E63A3"/>
    <w:rsid w:val="007F0D2A"/>
    <w:rsid w:val="007F2737"/>
    <w:rsid w:val="007F4EF0"/>
    <w:rsid w:val="007F4EF5"/>
    <w:rsid w:val="007F54EE"/>
    <w:rsid w:val="00801A6D"/>
    <w:rsid w:val="00801E60"/>
    <w:rsid w:val="00806B5B"/>
    <w:rsid w:val="00807061"/>
    <w:rsid w:val="00807725"/>
    <w:rsid w:val="00811CBA"/>
    <w:rsid w:val="008176B1"/>
    <w:rsid w:val="00821041"/>
    <w:rsid w:val="00824B26"/>
    <w:rsid w:val="00825387"/>
    <w:rsid w:val="00830760"/>
    <w:rsid w:val="00830A28"/>
    <w:rsid w:val="00830BFF"/>
    <w:rsid w:val="0083241A"/>
    <w:rsid w:val="00834E2E"/>
    <w:rsid w:val="00835237"/>
    <w:rsid w:val="00835AC8"/>
    <w:rsid w:val="00835B10"/>
    <w:rsid w:val="00836BAF"/>
    <w:rsid w:val="00844E70"/>
    <w:rsid w:val="00845174"/>
    <w:rsid w:val="008501BF"/>
    <w:rsid w:val="00852C3B"/>
    <w:rsid w:val="00857B18"/>
    <w:rsid w:val="008602E2"/>
    <w:rsid w:val="00860686"/>
    <w:rsid w:val="00862F22"/>
    <w:rsid w:val="00863023"/>
    <w:rsid w:val="00863F8D"/>
    <w:rsid w:val="008642A0"/>
    <w:rsid w:val="00866898"/>
    <w:rsid w:val="00870C5F"/>
    <w:rsid w:val="00872A99"/>
    <w:rsid w:val="00873380"/>
    <w:rsid w:val="00874044"/>
    <w:rsid w:val="00880D5A"/>
    <w:rsid w:val="0088136F"/>
    <w:rsid w:val="00882B43"/>
    <w:rsid w:val="0088517E"/>
    <w:rsid w:val="00886042"/>
    <w:rsid w:val="008860B2"/>
    <w:rsid w:val="00886CC5"/>
    <w:rsid w:val="008877FF"/>
    <w:rsid w:val="00887B86"/>
    <w:rsid w:val="00892B3E"/>
    <w:rsid w:val="00895A3F"/>
    <w:rsid w:val="00895E46"/>
    <w:rsid w:val="008A0B8A"/>
    <w:rsid w:val="008A3D12"/>
    <w:rsid w:val="008A638A"/>
    <w:rsid w:val="008B0310"/>
    <w:rsid w:val="008B7985"/>
    <w:rsid w:val="008B7CA3"/>
    <w:rsid w:val="008C02DC"/>
    <w:rsid w:val="008C214E"/>
    <w:rsid w:val="008C6B5B"/>
    <w:rsid w:val="008C70F3"/>
    <w:rsid w:val="008C7C20"/>
    <w:rsid w:val="008D141B"/>
    <w:rsid w:val="008D175D"/>
    <w:rsid w:val="008D28B0"/>
    <w:rsid w:val="008D45C8"/>
    <w:rsid w:val="008D5ABF"/>
    <w:rsid w:val="008D5FCE"/>
    <w:rsid w:val="008D6907"/>
    <w:rsid w:val="008D73A2"/>
    <w:rsid w:val="008D7543"/>
    <w:rsid w:val="008E3242"/>
    <w:rsid w:val="008E4199"/>
    <w:rsid w:val="008F33B0"/>
    <w:rsid w:val="008F3C20"/>
    <w:rsid w:val="008F42ED"/>
    <w:rsid w:val="008F5010"/>
    <w:rsid w:val="008F50B2"/>
    <w:rsid w:val="008F53F4"/>
    <w:rsid w:val="008F5F15"/>
    <w:rsid w:val="00900881"/>
    <w:rsid w:val="00900EAD"/>
    <w:rsid w:val="00901671"/>
    <w:rsid w:val="00901AE2"/>
    <w:rsid w:val="00904994"/>
    <w:rsid w:val="00905993"/>
    <w:rsid w:val="00906490"/>
    <w:rsid w:val="00907252"/>
    <w:rsid w:val="00913D8E"/>
    <w:rsid w:val="00914BB3"/>
    <w:rsid w:val="00917011"/>
    <w:rsid w:val="0092270A"/>
    <w:rsid w:val="0092281B"/>
    <w:rsid w:val="0092386E"/>
    <w:rsid w:val="009248D2"/>
    <w:rsid w:val="00924A72"/>
    <w:rsid w:val="00926739"/>
    <w:rsid w:val="00926A18"/>
    <w:rsid w:val="00927F0D"/>
    <w:rsid w:val="009301A1"/>
    <w:rsid w:val="009311A1"/>
    <w:rsid w:val="00935D8A"/>
    <w:rsid w:val="00944A81"/>
    <w:rsid w:val="00945A1A"/>
    <w:rsid w:val="00950F20"/>
    <w:rsid w:val="00952AE3"/>
    <w:rsid w:val="00952BF8"/>
    <w:rsid w:val="00960027"/>
    <w:rsid w:val="00962DDE"/>
    <w:rsid w:val="0096348B"/>
    <w:rsid w:val="00964A4C"/>
    <w:rsid w:val="00966967"/>
    <w:rsid w:val="00970DF0"/>
    <w:rsid w:val="00971FB2"/>
    <w:rsid w:val="009720D8"/>
    <w:rsid w:val="009720DC"/>
    <w:rsid w:val="00974875"/>
    <w:rsid w:val="0098203B"/>
    <w:rsid w:val="00984381"/>
    <w:rsid w:val="00984ACA"/>
    <w:rsid w:val="00986165"/>
    <w:rsid w:val="0098648A"/>
    <w:rsid w:val="00991ED5"/>
    <w:rsid w:val="00994188"/>
    <w:rsid w:val="00995415"/>
    <w:rsid w:val="009A072E"/>
    <w:rsid w:val="009A1872"/>
    <w:rsid w:val="009A1F10"/>
    <w:rsid w:val="009A2EE8"/>
    <w:rsid w:val="009A5F89"/>
    <w:rsid w:val="009B0987"/>
    <w:rsid w:val="009B1F38"/>
    <w:rsid w:val="009B21CA"/>
    <w:rsid w:val="009B2222"/>
    <w:rsid w:val="009B53FF"/>
    <w:rsid w:val="009C406E"/>
    <w:rsid w:val="009C5639"/>
    <w:rsid w:val="009C60E8"/>
    <w:rsid w:val="009C6F74"/>
    <w:rsid w:val="009D09FC"/>
    <w:rsid w:val="009D23D5"/>
    <w:rsid w:val="009D2CF3"/>
    <w:rsid w:val="009D3ED3"/>
    <w:rsid w:val="009E1C22"/>
    <w:rsid w:val="009E2221"/>
    <w:rsid w:val="009E22AD"/>
    <w:rsid w:val="009E264A"/>
    <w:rsid w:val="009E7615"/>
    <w:rsid w:val="009F3742"/>
    <w:rsid w:val="009F486B"/>
    <w:rsid w:val="009F4E57"/>
    <w:rsid w:val="009F5C01"/>
    <w:rsid w:val="00A0394B"/>
    <w:rsid w:val="00A04A0E"/>
    <w:rsid w:val="00A079B2"/>
    <w:rsid w:val="00A100D2"/>
    <w:rsid w:val="00A10D99"/>
    <w:rsid w:val="00A12061"/>
    <w:rsid w:val="00A12EEF"/>
    <w:rsid w:val="00A14770"/>
    <w:rsid w:val="00A1693A"/>
    <w:rsid w:val="00A1761B"/>
    <w:rsid w:val="00A20256"/>
    <w:rsid w:val="00A208A4"/>
    <w:rsid w:val="00A22216"/>
    <w:rsid w:val="00A229BB"/>
    <w:rsid w:val="00A23444"/>
    <w:rsid w:val="00A235B8"/>
    <w:rsid w:val="00A23DDD"/>
    <w:rsid w:val="00A30A1B"/>
    <w:rsid w:val="00A31B5D"/>
    <w:rsid w:val="00A33B8E"/>
    <w:rsid w:val="00A34A5A"/>
    <w:rsid w:val="00A40F59"/>
    <w:rsid w:val="00A41199"/>
    <w:rsid w:val="00A41B09"/>
    <w:rsid w:val="00A41DCB"/>
    <w:rsid w:val="00A42732"/>
    <w:rsid w:val="00A4342A"/>
    <w:rsid w:val="00A44AE8"/>
    <w:rsid w:val="00A45E92"/>
    <w:rsid w:val="00A47172"/>
    <w:rsid w:val="00A47B7E"/>
    <w:rsid w:val="00A53DCF"/>
    <w:rsid w:val="00A54142"/>
    <w:rsid w:val="00A61354"/>
    <w:rsid w:val="00A61ADC"/>
    <w:rsid w:val="00A62B24"/>
    <w:rsid w:val="00A63101"/>
    <w:rsid w:val="00A6356F"/>
    <w:rsid w:val="00A64FBA"/>
    <w:rsid w:val="00A65753"/>
    <w:rsid w:val="00A67295"/>
    <w:rsid w:val="00A701E1"/>
    <w:rsid w:val="00A73BC3"/>
    <w:rsid w:val="00A74111"/>
    <w:rsid w:val="00A74320"/>
    <w:rsid w:val="00A75449"/>
    <w:rsid w:val="00A76C67"/>
    <w:rsid w:val="00A7729E"/>
    <w:rsid w:val="00A8183B"/>
    <w:rsid w:val="00A832B3"/>
    <w:rsid w:val="00A845C8"/>
    <w:rsid w:val="00A84F36"/>
    <w:rsid w:val="00A855A2"/>
    <w:rsid w:val="00A869AC"/>
    <w:rsid w:val="00A8788C"/>
    <w:rsid w:val="00A91FD1"/>
    <w:rsid w:val="00A9509C"/>
    <w:rsid w:val="00A97E1A"/>
    <w:rsid w:val="00AA06EE"/>
    <w:rsid w:val="00AA18E4"/>
    <w:rsid w:val="00AA3051"/>
    <w:rsid w:val="00AA3186"/>
    <w:rsid w:val="00AA6FB0"/>
    <w:rsid w:val="00AA7485"/>
    <w:rsid w:val="00AB3C76"/>
    <w:rsid w:val="00AB6AB8"/>
    <w:rsid w:val="00AC0033"/>
    <w:rsid w:val="00AC042F"/>
    <w:rsid w:val="00AC1848"/>
    <w:rsid w:val="00AC5634"/>
    <w:rsid w:val="00AD1496"/>
    <w:rsid w:val="00AD1B2F"/>
    <w:rsid w:val="00AD46E7"/>
    <w:rsid w:val="00AD58AA"/>
    <w:rsid w:val="00AD6387"/>
    <w:rsid w:val="00AE13A9"/>
    <w:rsid w:val="00AE3BBE"/>
    <w:rsid w:val="00AF117A"/>
    <w:rsid w:val="00AF1FD3"/>
    <w:rsid w:val="00AF594C"/>
    <w:rsid w:val="00AF69F8"/>
    <w:rsid w:val="00AF723B"/>
    <w:rsid w:val="00B0160F"/>
    <w:rsid w:val="00B03CC6"/>
    <w:rsid w:val="00B04186"/>
    <w:rsid w:val="00B04952"/>
    <w:rsid w:val="00B1102A"/>
    <w:rsid w:val="00B114EB"/>
    <w:rsid w:val="00B11749"/>
    <w:rsid w:val="00B1219A"/>
    <w:rsid w:val="00B123FD"/>
    <w:rsid w:val="00B12EC0"/>
    <w:rsid w:val="00B13801"/>
    <w:rsid w:val="00B148CB"/>
    <w:rsid w:val="00B14B55"/>
    <w:rsid w:val="00B17B13"/>
    <w:rsid w:val="00B23DB0"/>
    <w:rsid w:val="00B23DCA"/>
    <w:rsid w:val="00B23F7D"/>
    <w:rsid w:val="00B2532E"/>
    <w:rsid w:val="00B26061"/>
    <w:rsid w:val="00B27280"/>
    <w:rsid w:val="00B324BC"/>
    <w:rsid w:val="00B32D4A"/>
    <w:rsid w:val="00B336DD"/>
    <w:rsid w:val="00B33E21"/>
    <w:rsid w:val="00B37613"/>
    <w:rsid w:val="00B40BFF"/>
    <w:rsid w:val="00B41EAA"/>
    <w:rsid w:val="00B42E9E"/>
    <w:rsid w:val="00B44DE6"/>
    <w:rsid w:val="00B46345"/>
    <w:rsid w:val="00B46FF0"/>
    <w:rsid w:val="00B47BF3"/>
    <w:rsid w:val="00B5071F"/>
    <w:rsid w:val="00B50E44"/>
    <w:rsid w:val="00B52048"/>
    <w:rsid w:val="00B526FC"/>
    <w:rsid w:val="00B54541"/>
    <w:rsid w:val="00B556D1"/>
    <w:rsid w:val="00B56287"/>
    <w:rsid w:val="00B56CF3"/>
    <w:rsid w:val="00B575B1"/>
    <w:rsid w:val="00B57F23"/>
    <w:rsid w:val="00B63199"/>
    <w:rsid w:val="00B65428"/>
    <w:rsid w:val="00B65BF6"/>
    <w:rsid w:val="00B731FC"/>
    <w:rsid w:val="00B73DCC"/>
    <w:rsid w:val="00B74402"/>
    <w:rsid w:val="00B77225"/>
    <w:rsid w:val="00B77E87"/>
    <w:rsid w:val="00B81D67"/>
    <w:rsid w:val="00B81EFE"/>
    <w:rsid w:val="00B82E45"/>
    <w:rsid w:val="00B83878"/>
    <w:rsid w:val="00B83ABC"/>
    <w:rsid w:val="00B862F3"/>
    <w:rsid w:val="00B866B8"/>
    <w:rsid w:val="00B87986"/>
    <w:rsid w:val="00B9151B"/>
    <w:rsid w:val="00B93A51"/>
    <w:rsid w:val="00B94BAC"/>
    <w:rsid w:val="00B94C16"/>
    <w:rsid w:val="00B96D1A"/>
    <w:rsid w:val="00BA0569"/>
    <w:rsid w:val="00BA1795"/>
    <w:rsid w:val="00BA2DC1"/>
    <w:rsid w:val="00BA3301"/>
    <w:rsid w:val="00BA7A4F"/>
    <w:rsid w:val="00BB65EB"/>
    <w:rsid w:val="00BB6DFA"/>
    <w:rsid w:val="00BB6FC1"/>
    <w:rsid w:val="00BC240F"/>
    <w:rsid w:val="00BC3153"/>
    <w:rsid w:val="00BC32CF"/>
    <w:rsid w:val="00BC5CE3"/>
    <w:rsid w:val="00BD5CB1"/>
    <w:rsid w:val="00BD7C0A"/>
    <w:rsid w:val="00BD7EFB"/>
    <w:rsid w:val="00BE068F"/>
    <w:rsid w:val="00BE234D"/>
    <w:rsid w:val="00BE28E0"/>
    <w:rsid w:val="00BE3434"/>
    <w:rsid w:val="00BE6A0E"/>
    <w:rsid w:val="00BE77F6"/>
    <w:rsid w:val="00BF2418"/>
    <w:rsid w:val="00BF6C2C"/>
    <w:rsid w:val="00C00CBE"/>
    <w:rsid w:val="00C011C3"/>
    <w:rsid w:val="00C04425"/>
    <w:rsid w:val="00C10126"/>
    <w:rsid w:val="00C10BF0"/>
    <w:rsid w:val="00C12ACB"/>
    <w:rsid w:val="00C1442A"/>
    <w:rsid w:val="00C14768"/>
    <w:rsid w:val="00C174E1"/>
    <w:rsid w:val="00C20600"/>
    <w:rsid w:val="00C21DDF"/>
    <w:rsid w:val="00C21E15"/>
    <w:rsid w:val="00C232C9"/>
    <w:rsid w:val="00C23EE1"/>
    <w:rsid w:val="00C247E5"/>
    <w:rsid w:val="00C26131"/>
    <w:rsid w:val="00C2717F"/>
    <w:rsid w:val="00C27495"/>
    <w:rsid w:val="00C3344C"/>
    <w:rsid w:val="00C33880"/>
    <w:rsid w:val="00C36443"/>
    <w:rsid w:val="00C42104"/>
    <w:rsid w:val="00C440C7"/>
    <w:rsid w:val="00C46B2C"/>
    <w:rsid w:val="00C46D56"/>
    <w:rsid w:val="00C46D9A"/>
    <w:rsid w:val="00C47B3C"/>
    <w:rsid w:val="00C52CDA"/>
    <w:rsid w:val="00C5533C"/>
    <w:rsid w:val="00C55D13"/>
    <w:rsid w:val="00C56FCE"/>
    <w:rsid w:val="00C57416"/>
    <w:rsid w:val="00C57AD4"/>
    <w:rsid w:val="00C634B4"/>
    <w:rsid w:val="00C71486"/>
    <w:rsid w:val="00C727BF"/>
    <w:rsid w:val="00C72BB9"/>
    <w:rsid w:val="00C743AD"/>
    <w:rsid w:val="00C75A5B"/>
    <w:rsid w:val="00C75E15"/>
    <w:rsid w:val="00C77561"/>
    <w:rsid w:val="00C77BBA"/>
    <w:rsid w:val="00C8139F"/>
    <w:rsid w:val="00C81A31"/>
    <w:rsid w:val="00C8366F"/>
    <w:rsid w:val="00C85A59"/>
    <w:rsid w:val="00C86208"/>
    <w:rsid w:val="00C87607"/>
    <w:rsid w:val="00C87610"/>
    <w:rsid w:val="00C876F1"/>
    <w:rsid w:val="00C92DED"/>
    <w:rsid w:val="00CA1818"/>
    <w:rsid w:val="00CA2011"/>
    <w:rsid w:val="00CA65EF"/>
    <w:rsid w:val="00CA715E"/>
    <w:rsid w:val="00CB1C2D"/>
    <w:rsid w:val="00CB5E7D"/>
    <w:rsid w:val="00CC5C3E"/>
    <w:rsid w:val="00CC5E36"/>
    <w:rsid w:val="00CD0E7C"/>
    <w:rsid w:val="00CD1F84"/>
    <w:rsid w:val="00CD61D1"/>
    <w:rsid w:val="00CD70B0"/>
    <w:rsid w:val="00CE0278"/>
    <w:rsid w:val="00CE6072"/>
    <w:rsid w:val="00CE679F"/>
    <w:rsid w:val="00CE6B2D"/>
    <w:rsid w:val="00CF3A71"/>
    <w:rsid w:val="00CF4AD5"/>
    <w:rsid w:val="00CF6CC0"/>
    <w:rsid w:val="00D00B6E"/>
    <w:rsid w:val="00D02335"/>
    <w:rsid w:val="00D0555C"/>
    <w:rsid w:val="00D05BB9"/>
    <w:rsid w:val="00D06A0E"/>
    <w:rsid w:val="00D06F58"/>
    <w:rsid w:val="00D07AAB"/>
    <w:rsid w:val="00D11DBA"/>
    <w:rsid w:val="00D125CB"/>
    <w:rsid w:val="00D12A53"/>
    <w:rsid w:val="00D1378B"/>
    <w:rsid w:val="00D13D01"/>
    <w:rsid w:val="00D1591E"/>
    <w:rsid w:val="00D25CE8"/>
    <w:rsid w:val="00D273E8"/>
    <w:rsid w:val="00D27E1F"/>
    <w:rsid w:val="00D308EF"/>
    <w:rsid w:val="00D30908"/>
    <w:rsid w:val="00D326F7"/>
    <w:rsid w:val="00D343D6"/>
    <w:rsid w:val="00D35E64"/>
    <w:rsid w:val="00D3679A"/>
    <w:rsid w:val="00D368C2"/>
    <w:rsid w:val="00D410E0"/>
    <w:rsid w:val="00D42325"/>
    <w:rsid w:val="00D4233D"/>
    <w:rsid w:val="00D4238F"/>
    <w:rsid w:val="00D44B6B"/>
    <w:rsid w:val="00D45CA3"/>
    <w:rsid w:val="00D462F3"/>
    <w:rsid w:val="00D5054F"/>
    <w:rsid w:val="00D50931"/>
    <w:rsid w:val="00D51C91"/>
    <w:rsid w:val="00D52D5C"/>
    <w:rsid w:val="00D54B24"/>
    <w:rsid w:val="00D54F59"/>
    <w:rsid w:val="00D551D1"/>
    <w:rsid w:val="00D56E7D"/>
    <w:rsid w:val="00D572D7"/>
    <w:rsid w:val="00D61E3B"/>
    <w:rsid w:val="00D6351B"/>
    <w:rsid w:val="00D63C75"/>
    <w:rsid w:val="00D65424"/>
    <w:rsid w:val="00D675ED"/>
    <w:rsid w:val="00D73556"/>
    <w:rsid w:val="00D7365F"/>
    <w:rsid w:val="00D76CEF"/>
    <w:rsid w:val="00D77045"/>
    <w:rsid w:val="00D81C01"/>
    <w:rsid w:val="00D836D5"/>
    <w:rsid w:val="00D83B39"/>
    <w:rsid w:val="00D84CAB"/>
    <w:rsid w:val="00D90DA5"/>
    <w:rsid w:val="00D92EC0"/>
    <w:rsid w:val="00D94017"/>
    <w:rsid w:val="00D94300"/>
    <w:rsid w:val="00D94CF2"/>
    <w:rsid w:val="00DA1624"/>
    <w:rsid w:val="00DA3866"/>
    <w:rsid w:val="00DA71B4"/>
    <w:rsid w:val="00DA7D50"/>
    <w:rsid w:val="00DB39AE"/>
    <w:rsid w:val="00DB6904"/>
    <w:rsid w:val="00DC16EC"/>
    <w:rsid w:val="00DC186C"/>
    <w:rsid w:val="00DC30B7"/>
    <w:rsid w:val="00DC3569"/>
    <w:rsid w:val="00DC4CDC"/>
    <w:rsid w:val="00DC59CF"/>
    <w:rsid w:val="00DC67A0"/>
    <w:rsid w:val="00DC69DE"/>
    <w:rsid w:val="00DC7FE4"/>
    <w:rsid w:val="00DD10B5"/>
    <w:rsid w:val="00DD527D"/>
    <w:rsid w:val="00DD7BE2"/>
    <w:rsid w:val="00DE71B1"/>
    <w:rsid w:val="00DE767B"/>
    <w:rsid w:val="00DF0634"/>
    <w:rsid w:val="00DF0F9B"/>
    <w:rsid w:val="00DF313B"/>
    <w:rsid w:val="00DF506F"/>
    <w:rsid w:val="00DF5B3C"/>
    <w:rsid w:val="00DF73E9"/>
    <w:rsid w:val="00E00049"/>
    <w:rsid w:val="00E02829"/>
    <w:rsid w:val="00E127B2"/>
    <w:rsid w:val="00E13188"/>
    <w:rsid w:val="00E132B3"/>
    <w:rsid w:val="00E1398B"/>
    <w:rsid w:val="00E15A78"/>
    <w:rsid w:val="00E17A04"/>
    <w:rsid w:val="00E17FCF"/>
    <w:rsid w:val="00E230D8"/>
    <w:rsid w:val="00E246B7"/>
    <w:rsid w:val="00E30663"/>
    <w:rsid w:val="00E3279D"/>
    <w:rsid w:val="00E341D6"/>
    <w:rsid w:val="00E35637"/>
    <w:rsid w:val="00E420E4"/>
    <w:rsid w:val="00E42F7A"/>
    <w:rsid w:val="00E44165"/>
    <w:rsid w:val="00E452CF"/>
    <w:rsid w:val="00E45DB2"/>
    <w:rsid w:val="00E46749"/>
    <w:rsid w:val="00E477A4"/>
    <w:rsid w:val="00E503CF"/>
    <w:rsid w:val="00E53A17"/>
    <w:rsid w:val="00E54A10"/>
    <w:rsid w:val="00E55047"/>
    <w:rsid w:val="00E562BA"/>
    <w:rsid w:val="00E56702"/>
    <w:rsid w:val="00E56F4B"/>
    <w:rsid w:val="00E57309"/>
    <w:rsid w:val="00E636B4"/>
    <w:rsid w:val="00E646EA"/>
    <w:rsid w:val="00E65AAA"/>
    <w:rsid w:val="00E65DD0"/>
    <w:rsid w:val="00E70A18"/>
    <w:rsid w:val="00E70CC7"/>
    <w:rsid w:val="00E70FA8"/>
    <w:rsid w:val="00E71135"/>
    <w:rsid w:val="00E71212"/>
    <w:rsid w:val="00E72A80"/>
    <w:rsid w:val="00E749AA"/>
    <w:rsid w:val="00E77763"/>
    <w:rsid w:val="00E80514"/>
    <w:rsid w:val="00E82F6E"/>
    <w:rsid w:val="00E8483A"/>
    <w:rsid w:val="00E85C00"/>
    <w:rsid w:val="00E904D0"/>
    <w:rsid w:val="00E90681"/>
    <w:rsid w:val="00E9196F"/>
    <w:rsid w:val="00E9274E"/>
    <w:rsid w:val="00E937E4"/>
    <w:rsid w:val="00E94004"/>
    <w:rsid w:val="00E9585F"/>
    <w:rsid w:val="00E97DCF"/>
    <w:rsid w:val="00EA1516"/>
    <w:rsid w:val="00EA3E79"/>
    <w:rsid w:val="00EA5797"/>
    <w:rsid w:val="00EA5B68"/>
    <w:rsid w:val="00EA756F"/>
    <w:rsid w:val="00EB04E4"/>
    <w:rsid w:val="00EB0901"/>
    <w:rsid w:val="00EB0C60"/>
    <w:rsid w:val="00EB28A8"/>
    <w:rsid w:val="00EB34DB"/>
    <w:rsid w:val="00EB6425"/>
    <w:rsid w:val="00EC1109"/>
    <w:rsid w:val="00EC15B6"/>
    <w:rsid w:val="00EC4681"/>
    <w:rsid w:val="00EC4DDC"/>
    <w:rsid w:val="00EC6F17"/>
    <w:rsid w:val="00EC7343"/>
    <w:rsid w:val="00EC74A6"/>
    <w:rsid w:val="00ED75AD"/>
    <w:rsid w:val="00ED79A4"/>
    <w:rsid w:val="00EE03F2"/>
    <w:rsid w:val="00EE0743"/>
    <w:rsid w:val="00EE12C2"/>
    <w:rsid w:val="00EE1A56"/>
    <w:rsid w:val="00EE2AE8"/>
    <w:rsid w:val="00EE32ED"/>
    <w:rsid w:val="00EE4ADE"/>
    <w:rsid w:val="00EE5164"/>
    <w:rsid w:val="00EE5C3F"/>
    <w:rsid w:val="00EE6C15"/>
    <w:rsid w:val="00EF0B62"/>
    <w:rsid w:val="00EF151F"/>
    <w:rsid w:val="00EF27A1"/>
    <w:rsid w:val="00EF3E1A"/>
    <w:rsid w:val="00EF5753"/>
    <w:rsid w:val="00F00340"/>
    <w:rsid w:val="00F005DF"/>
    <w:rsid w:val="00F0400F"/>
    <w:rsid w:val="00F06CC7"/>
    <w:rsid w:val="00F10175"/>
    <w:rsid w:val="00F1191C"/>
    <w:rsid w:val="00F12881"/>
    <w:rsid w:val="00F129B4"/>
    <w:rsid w:val="00F15EDF"/>
    <w:rsid w:val="00F15F27"/>
    <w:rsid w:val="00F20424"/>
    <w:rsid w:val="00F24703"/>
    <w:rsid w:val="00F2771A"/>
    <w:rsid w:val="00F31B78"/>
    <w:rsid w:val="00F32158"/>
    <w:rsid w:val="00F32169"/>
    <w:rsid w:val="00F32469"/>
    <w:rsid w:val="00F35997"/>
    <w:rsid w:val="00F3765B"/>
    <w:rsid w:val="00F429A8"/>
    <w:rsid w:val="00F470F7"/>
    <w:rsid w:val="00F50D43"/>
    <w:rsid w:val="00F52083"/>
    <w:rsid w:val="00F553AC"/>
    <w:rsid w:val="00F55DB4"/>
    <w:rsid w:val="00F56F18"/>
    <w:rsid w:val="00F56F85"/>
    <w:rsid w:val="00F5775D"/>
    <w:rsid w:val="00F6211B"/>
    <w:rsid w:val="00F65218"/>
    <w:rsid w:val="00F768F8"/>
    <w:rsid w:val="00F76C77"/>
    <w:rsid w:val="00F779E6"/>
    <w:rsid w:val="00F77ECD"/>
    <w:rsid w:val="00F80E2B"/>
    <w:rsid w:val="00F82BFD"/>
    <w:rsid w:val="00F84A4C"/>
    <w:rsid w:val="00F9111B"/>
    <w:rsid w:val="00F91A85"/>
    <w:rsid w:val="00F920C5"/>
    <w:rsid w:val="00F9265C"/>
    <w:rsid w:val="00F94784"/>
    <w:rsid w:val="00F94846"/>
    <w:rsid w:val="00F95824"/>
    <w:rsid w:val="00F979A9"/>
    <w:rsid w:val="00FA0764"/>
    <w:rsid w:val="00FA25BE"/>
    <w:rsid w:val="00FB0344"/>
    <w:rsid w:val="00FB3570"/>
    <w:rsid w:val="00FB4EC9"/>
    <w:rsid w:val="00FC1DCC"/>
    <w:rsid w:val="00FC46D5"/>
    <w:rsid w:val="00FC52EF"/>
    <w:rsid w:val="00FC799D"/>
    <w:rsid w:val="00FD06DB"/>
    <w:rsid w:val="00FD166E"/>
    <w:rsid w:val="00FD1EB6"/>
    <w:rsid w:val="00FD2810"/>
    <w:rsid w:val="00FD5652"/>
    <w:rsid w:val="00FE18DF"/>
    <w:rsid w:val="00FE1EFE"/>
    <w:rsid w:val="00FE2345"/>
    <w:rsid w:val="00FE2B31"/>
    <w:rsid w:val="00FE2F30"/>
    <w:rsid w:val="00FE4270"/>
    <w:rsid w:val="00FF0E16"/>
    <w:rsid w:val="00FF2892"/>
    <w:rsid w:val="00FF2FDA"/>
    <w:rsid w:val="00FF6D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6785"/>
    <o:shapelayout v:ext="edit">
      <o:idmap v:ext="edit" data="1"/>
    </o:shapelayout>
  </w:shapeDefaults>
  <w:decimalSymbol w:val="."/>
  <w:listSeparator w:val=","/>
  <w14:docId w14:val="5B41E1F2"/>
  <w15:docId w15:val="{00D47933-0F66-4915-97EB-B9C99CCA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0ED"/>
    <w:pPr>
      <w:spacing w:after="240" w:line="264" w:lineRule="auto"/>
    </w:pPr>
    <w:rPr>
      <w:rFonts w:ascii="Segoe UI" w:hAnsi="Segoe UI"/>
      <w:sz w:val="22"/>
      <w:szCs w:val="22"/>
      <w:lang w:eastAsia="en-US"/>
    </w:rPr>
  </w:style>
  <w:style w:type="paragraph" w:styleId="Heading1">
    <w:name w:val="heading 1"/>
    <w:basedOn w:val="Normal"/>
    <w:next w:val="Normal"/>
    <w:link w:val="Heading1Char"/>
    <w:autoRedefine/>
    <w:qFormat/>
    <w:rsid w:val="007A065E"/>
    <w:pPr>
      <w:keepNext/>
      <w:pageBreakBefore/>
      <w:numPr>
        <w:numId w:val="5"/>
      </w:numPr>
      <w:shd w:val="clear" w:color="auto" w:fill="08193E"/>
      <w:spacing w:before="240" w:after="360"/>
      <w:outlineLvl w:val="0"/>
    </w:pPr>
    <w:rPr>
      <w:rFonts w:eastAsia="Times New Roman"/>
      <w:b/>
      <w:bCs/>
      <w:sz w:val="40"/>
      <w:szCs w:val="28"/>
    </w:rPr>
  </w:style>
  <w:style w:type="paragraph" w:styleId="Heading2">
    <w:name w:val="heading 2"/>
    <w:basedOn w:val="Normal"/>
    <w:next w:val="Normal"/>
    <w:link w:val="Heading2Char"/>
    <w:autoRedefine/>
    <w:qFormat/>
    <w:rsid w:val="00691206"/>
    <w:pPr>
      <w:keepNext/>
      <w:keepLines/>
      <w:numPr>
        <w:ilvl w:val="1"/>
        <w:numId w:val="27"/>
      </w:numPr>
      <w:spacing w:before="360"/>
      <w:outlineLvl w:val="1"/>
    </w:pPr>
    <w:rPr>
      <w:rFonts w:eastAsia="Times New Roman"/>
      <w:b/>
      <w:bCs/>
      <w:color w:val="08193E"/>
      <w:sz w:val="30"/>
      <w:szCs w:val="26"/>
    </w:rPr>
  </w:style>
  <w:style w:type="paragraph" w:styleId="Heading3">
    <w:name w:val="heading 3"/>
    <w:basedOn w:val="Normal"/>
    <w:next w:val="Normal"/>
    <w:link w:val="Heading3Char"/>
    <w:qFormat/>
    <w:rsid w:val="00EF151F"/>
    <w:pPr>
      <w:keepNext/>
      <w:keepLines/>
      <w:numPr>
        <w:ilvl w:val="2"/>
        <w:numId w:val="27"/>
      </w:numPr>
      <w:spacing w:before="360"/>
      <w:outlineLvl w:val="2"/>
    </w:pPr>
    <w:rPr>
      <w:rFonts w:eastAsia="Times New Roman"/>
      <w:b/>
      <w:bCs/>
      <w:color w:val="08193E"/>
      <w:sz w:val="26"/>
    </w:rPr>
  </w:style>
  <w:style w:type="paragraph" w:styleId="Heading4">
    <w:name w:val="heading 4"/>
    <w:basedOn w:val="Heading3"/>
    <w:next w:val="Normal"/>
    <w:link w:val="Heading4Char"/>
    <w:qFormat/>
    <w:rsid w:val="006B4391"/>
    <w:pPr>
      <w:numPr>
        <w:ilvl w:val="0"/>
        <w:numId w:val="0"/>
      </w:numPr>
      <w:outlineLvl w:val="3"/>
    </w:pPr>
    <w:rPr>
      <w:bCs w:val="0"/>
      <w:i/>
      <w:iCs/>
      <w:sz w:val="24"/>
    </w:rPr>
  </w:style>
  <w:style w:type="paragraph" w:styleId="Heading5">
    <w:name w:val="heading 5"/>
    <w:basedOn w:val="Normal"/>
    <w:next w:val="Normal"/>
    <w:link w:val="Heading5Char"/>
    <w:uiPriority w:val="9"/>
    <w:semiHidden/>
    <w:qFormat/>
    <w:rsid w:val="00350D83"/>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065E"/>
    <w:rPr>
      <w:rFonts w:ascii="Segoe UI" w:eastAsia="Times New Roman" w:hAnsi="Segoe UI"/>
      <w:b/>
      <w:bCs/>
      <w:sz w:val="40"/>
      <w:szCs w:val="28"/>
      <w:shd w:val="clear" w:color="auto" w:fill="08193E"/>
      <w:lang w:eastAsia="en-US"/>
    </w:rPr>
  </w:style>
  <w:style w:type="paragraph" w:styleId="NormalWeb">
    <w:name w:val="Normal (Web)"/>
    <w:basedOn w:val="Normal"/>
    <w:uiPriority w:val="99"/>
    <w:semiHidden/>
    <w:unhideWhenUsed/>
    <w:rsid w:val="00B62B41"/>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basedOn w:val="DefaultParagraphFont"/>
    <w:link w:val="Heading2"/>
    <w:rsid w:val="00691206"/>
    <w:rPr>
      <w:rFonts w:ascii="Segoe UI" w:eastAsia="Times New Roman" w:hAnsi="Segoe UI"/>
      <w:b/>
      <w:bCs/>
      <w:color w:val="08193E"/>
      <w:sz w:val="30"/>
      <w:szCs w:val="26"/>
      <w:lang w:eastAsia="en-US"/>
    </w:rPr>
  </w:style>
  <w:style w:type="character" w:customStyle="1" w:styleId="Heading3Char">
    <w:name w:val="Heading 3 Char"/>
    <w:basedOn w:val="DefaultParagraphFont"/>
    <w:link w:val="Heading3"/>
    <w:rsid w:val="00EF151F"/>
    <w:rPr>
      <w:rFonts w:ascii="Segoe UI" w:eastAsia="Times New Roman" w:hAnsi="Segoe UI"/>
      <w:b/>
      <w:bCs/>
      <w:color w:val="08193E"/>
      <w:sz w:val="26"/>
      <w:szCs w:val="22"/>
      <w:lang w:eastAsia="en-US"/>
    </w:rPr>
  </w:style>
  <w:style w:type="paragraph" w:styleId="Header">
    <w:name w:val="header"/>
    <w:basedOn w:val="Normal"/>
    <w:link w:val="HeaderChar"/>
    <w:uiPriority w:val="99"/>
    <w:semiHidden/>
    <w:rsid w:val="00701508"/>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semiHidden/>
    <w:rsid w:val="002F424D"/>
    <w:rPr>
      <w:rFonts w:ascii="Cambria" w:hAnsi="Cambria"/>
      <w:i/>
      <w:sz w:val="24"/>
      <w:szCs w:val="22"/>
      <w:lang w:eastAsia="en-US"/>
    </w:rPr>
  </w:style>
  <w:style w:type="paragraph" w:styleId="Footer">
    <w:name w:val="footer"/>
    <w:aliases w:val="Footer text"/>
    <w:basedOn w:val="Normal"/>
    <w:link w:val="FooterChar"/>
    <w:uiPriority w:val="99"/>
    <w:semiHidden/>
    <w:rsid w:val="00B11F0F"/>
    <w:pPr>
      <w:tabs>
        <w:tab w:val="center" w:pos="4513"/>
        <w:tab w:val="right" w:pos="9026"/>
      </w:tabs>
      <w:spacing w:after="0" w:line="240" w:lineRule="auto"/>
    </w:pPr>
    <w:rPr>
      <w:i/>
      <w:sz w:val="16"/>
    </w:rPr>
  </w:style>
  <w:style w:type="character" w:customStyle="1" w:styleId="FooterChar">
    <w:name w:val="Footer Char"/>
    <w:aliases w:val="Footer text Char"/>
    <w:basedOn w:val="DefaultParagraphFont"/>
    <w:link w:val="Footer"/>
    <w:uiPriority w:val="99"/>
    <w:semiHidden/>
    <w:rsid w:val="002F424D"/>
    <w:rPr>
      <w:rFonts w:ascii="Cambria" w:hAnsi="Cambria"/>
      <w:i/>
      <w:sz w:val="16"/>
      <w:szCs w:val="22"/>
      <w:lang w:eastAsia="en-US"/>
    </w:rPr>
  </w:style>
  <w:style w:type="table" w:styleId="TableGrid">
    <w:name w:val="Table Grid"/>
    <w:basedOn w:val="TableNormal"/>
    <w:uiPriority w:val="59"/>
    <w:rsid w:val="00C9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156"/>
    <w:rPr>
      <w:rFonts w:ascii="Tahoma" w:hAnsi="Tahoma" w:cs="Tahoma"/>
      <w:sz w:val="16"/>
      <w:szCs w:val="16"/>
    </w:rPr>
  </w:style>
  <w:style w:type="paragraph" w:styleId="TOC2">
    <w:name w:val="toc 2"/>
    <w:basedOn w:val="Normal"/>
    <w:next w:val="Normal"/>
    <w:autoRedefine/>
    <w:uiPriority w:val="39"/>
    <w:unhideWhenUsed/>
    <w:rsid w:val="00EC1109"/>
    <w:pPr>
      <w:tabs>
        <w:tab w:val="left" w:pos="1134"/>
        <w:tab w:val="right" w:leader="dot" w:pos="9016"/>
      </w:tabs>
      <w:spacing w:after="0" w:line="240" w:lineRule="auto"/>
      <w:ind w:left="1134" w:right="567" w:hanging="567"/>
    </w:pPr>
    <w:rPr>
      <w:noProof/>
      <w:szCs w:val="24"/>
    </w:rPr>
  </w:style>
  <w:style w:type="paragraph" w:styleId="TOC1">
    <w:name w:val="toc 1"/>
    <w:basedOn w:val="Normal"/>
    <w:next w:val="Normal"/>
    <w:autoRedefine/>
    <w:uiPriority w:val="39"/>
    <w:unhideWhenUsed/>
    <w:rsid w:val="00AD1496"/>
    <w:pPr>
      <w:tabs>
        <w:tab w:val="right" w:leader="dot" w:pos="9015"/>
      </w:tabs>
      <w:spacing w:before="240" w:after="0" w:line="240" w:lineRule="auto"/>
      <w:ind w:left="567" w:right="567" w:hanging="567"/>
    </w:pPr>
    <w:rPr>
      <w:b/>
      <w:noProof/>
      <w:szCs w:val="24"/>
      <w:lang w:eastAsia="en-AU"/>
    </w:rPr>
  </w:style>
  <w:style w:type="paragraph" w:styleId="TOC3">
    <w:name w:val="toc 3"/>
    <w:basedOn w:val="Normal"/>
    <w:next w:val="Normal"/>
    <w:autoRedefine/>
    <w:uiPriority w:val="39"/>
    <w:unhideWhenUsed/>
    <w:rsid w:val="00574104"/>
    <w:pPr>
      <w:tabs>
        <w:tab w:val="right" w:leader="dot" w:pos="9016"/>
      </w:tabs>
      <w:spacing w:before="60" w:after="0" w:line="240" w:lineRule="auto"/>
      <w:ind w:left="1701" w:hanging="567"/>
    </w:pPr>
    <w:rPr>
      <w:noProof/>
    </w:rPr>
  </w:style>
  <w:style w:type="character" w:styleId="Hyperlink">
    <w:name w:val="Hyperlink"/>
    <w:basedOn w:val="DefaultParagraphFont"/>
    <w:uiPriority w:val="99"/>
    <w:rsid w:val="00900881"/>
    <w:rPr>
      <w:color w:val="EB7633" w:themeColor="accent3"/>
      <w:u w:val="single"/>
    </w:rPr>
  </w:style>
  <w:style w:type="paragraph" w:customStyle="1" w:styleId="GeneralHeading">
    <w:name w:val="General Heading"/>
    <w:basedOn w:val="Heading1"/>
    <w:next w:val="Normal"/>
    <w:qFormat/>
    <w:rsid w:val="00142D6A"/>
    <w:pPr>
      <w:numPr>
        <w:numId w:val="0"/>
      </w:numPr>
    </w:pPr>
  </w:style>
  <w:style w:type="paragraph" w:styleId="TOCHeading">
    <w:name w:val="TOC Heading"/>
    <w:basedOn w:val="Heading1"/>
    <w:next w:val="Normal"/>
    <w:autoRedefine/>
    <w:uiPriority w:val="39"/>
    <w:unhideWhenUsed/>
    <w:qFormat/>
    <w:rsid w:val="007C2262"/>
    <w:pPr>
      <w:keepLines/>
      <w:pageBreakBefore w:val="0"/>
      <w:numPr>
        <w:numId w:val="0"/>
      </w:numPr>
      <w:outlineLvl w:val="9"/>
    </w:pPr>
    <w:rPr>
      <w:rFonts w:eastAsiaTheme="majorEastAsia" w:cstheme="majorBidi"/>
      <w:color w:val="FFFFFF" w:themeColor="background1"/>
    </w:rPr>
  </w:style>
  <w:style w:type="paragraph" w:customStyle="1" w:styleId="Reporttitle">
    <w:name w:val="Report title"/>
    <w:basedOn w:val="Normal"/>
    <w:qFormat/>
    <w:rsid w:val="001C703D"/>
    <w:pPr>
      <w:spacing w:after="0" w:line="240" w:lineRule="auto"/>
      <w:jc w:val="right"/>
    </w:pPr>
    <w:rPr>
      <w:rFonts w:cs="Segoe UI"/>
      <w:caps/>
      <w:color w:val="FFFFFF"/>
      <w:sz w:val="84"/>
      <w:szCs w:val="84"/>
    </w:rPr>
  </w:style>
  <w:style w:type="paragraph" w:customStyle="1" w:styleId="Tablebodytext">
    <w:name w:val="Table body text"/>
    <w:basedOn w:val="Normal"/>
    <w:qFormat/>
    <w:rsid w:val="00931E0B"/>
    <w:pPr>
      <w:spacing w:after="0" w:line="240" w:lineRule="auto"/>
    </w:pPr>
    <w:rPr>
      <w:sz w:val="20"/>
    </w:rPr>
  </w:style>
  <w:style w:type="paragraph" w:customStyle="1" w:styleId="Tablebullet">
    <w:name w:val="Table bullet"/>
    <w:basedOn w:val="Tablebodytext"/>
    <w:qFormat/>
    <w:rsid w:val="00753FC6"/>
    <w:pPr>
      <w:numPr>
        <w:numId w:val="1"/>
      </w:numPr>
      <w:ind w:left="227" w:hanging="227"/>
    </w:pPr>
  </w:style>
  <w:style w:type="paragraph" w:customStyle="1" w:styleId="Listdashlevel2">
    <w:name w:val="List dash (level 2)"/>
    <w:basedOn w:val="Normal"/>
    <w:qFormat/>
    <w:rsid w:val="00AF117A"/>
    <w:pPr>
      <w:numPr>
        <w:ilvl w:val="1"/>
        <w:numId w:val="15"/>
      </w:numPr>
      <w:spacing w:after="0" w:line="240" w:lineRule="auto"/>
    </w:pPr>
  </w:style>
  <w:style w:type="paragraph" w:customStyle="1" w:styleId="Notes">
    <w:name w:val="Notes"/>
    <w:basedOn w:val="Normal"/>
    <w:qFormat/>
    <w:rsid w:val="00B12EC0"/>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91528F"/>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974875"/>
    <w:rPr>
      <w:rFonts w:ascii="Cambria" w:hAnsi="Cambria"/>
      <w:i/>
      <w:iCs/>
      <w:color w:val="000000"/>
      <w:sz w:val="24"/>
      <w:szCs w:val="22"/>
      <w:lang w:eastAsia="en-US"/>
    </w:rPr>
  </w:style>
  <w:style w:type="paragraph" w:styleId="Subtitle">
    <w:name w:val="Subtitle"/>
    <w:aliases w:val="Report subtitle"/>
    <w:basedOn w:val="Normal"/>
    <w:next w:val="Reporttype"/>
    <w:link w:val="SubtitleChar"/>
    <w:uiPriority w:val="11"/>
    <w:qFormat/>
    <w:rsid w:val="001C703D"/>
    <w:pPr>
      <w:spacing w:before="120" w:after="120" w:line="240" w:lineRule="auto"/>
      <w:jc w:val="right"/>
    </w:pPr>
    <w:rPr>
      <w:rFonts w:cs="Segoe UI"/>
      <w:smallCaps/>
      <w:color w:val="08193E"/>
      <w:sz w:val="40"/>
      <w:szCs w:val="40"/>
    </w:rPr>
  </w:style>
  <w:style w:type="character" w:customStyle="1" w:styleId="SubtitleChar">
    <w:name w:val="Subtitle Char"/>
    <w:aliases w:val="Report subtitle Char"/>
    <w:basedOn w:val="DefaultParagraphFont"/>
    <w:link w:val="Subtitle"/>
    <w:uiPriority w:val="11"/>
    <w:rsid w:val="001C703D"/>
    <w:rPr>
      <w:rFonts w:ascii="Segoe UI" w:hAnsi="Segoe UI" w:cs="Segoe UI"/>
      <w:smallCaps/>
      <w:color w:val="08193E"/>
      <w:sz w:val="40"/>
      <w:szCs w:val="40"/>
      <w:lang w:eastAsia="en-US"/>
    </w:rPr>
  </w:style>
  <w:style w:type="paragraph" w:customStyle="1" w:styleId="Reportdate">
    <w:name w:val="Report date"/>
    <w:basedOn w:val="Normal"/>
    <w:semiHidden/>
    <w:qFormat/>
    <w:rsid w:val="00895E46"/>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960E17"/>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960E17"/>
    <w:pPr>
      <w:pBdr>
        <w:top w:val="single" w:sz="4" w:space="4" w:color="1F497D"/>
        <w:left w:val="single" w:sz="4" w:space="4" w:color="1F497D"/>
        <w:bottom w:val="single" w:sz="4" w:space="4" w:color="1F497D"/>
        <w:right w:val="single" w:sz="4" w:space="4" w:color="1F497D"/>
      </w:pBdr>
      <w:spacing w:before="240"/>
    </w:pPr>
    <w:rPr>
      <w:rFonts w:ascii="Arial Narrow" w:hAnsi="Arial Narrow"/>
      <w:sz w:val="20"/>
    </w:rPr>
  </w:style>
  <w:style w:type="paragraph" w:customStyle="1" w:styleId="Boxbullet">
    <w:name w:val="Box bullet"/>
    <w:basedOn w:val="Boxtext"/>
    <w:semiHidden/>
    <w:qFormat/>
    <w:rsid w:val="00AF117A"/>
    <w:pPr>
      <w:spacing w:after="0"/>
    </w:pPr>
  </w:style>
  <w:style w:type="paragraph" w:styleId="FootnoteText">
    <w:name w:val="footnote text"/>
    <w:basedOn w:val="Normal"/>
    <w:link w:val="FootnoteTextChar"/>
    <w:uiPriority w:val="99"/>
    <w:unhideWhenUsed/>
    <w:rsid w:val="006537BD"/>
    <w:pPr>
      <w:spacing w:after="0" w:line="240" w:lineRule="auto"/>
    </w:pPr>
    <w:rPr>
      <w:sz w:val="20"/>
      <w:szCs w:val="20"/>
    </w:rPr>
  </w:style>
  <w:style w:type="character" w:customStyle="1" w:styleId="FootnoteTextChar">
    <w:name w:val="Footnote Text Char"/>
    <w:basedOn w:val="DefaultParagraphFont"/>
    <w:link w:val="FootnoteText"/>
    <w:uiPriority w:val="99"/>
    <w:rsid w:val="006537BD"/>
    <w:rPr>
      <w:rFonts w:ascii="Segoe UI Light" w:hAnsi="Segoe UI Light"/>
      <w:sz w:val="20"/>
      <w:szCs w:val="20"/>
    </w:rPr>
  </w:style>
  <w:style w:type="character" w:styleId="FootnoteReference">
    <w:name w:val="footnote reference"/>
    <w:basedOn w:val="DefaultParagraphFont"/>
    <w:uiPriority w:val="99"/>
    <w:semiHidden/>
    <w:unhideWhenUsed/>
    <w:rsid w:val="006537BD"/>
    <w:rPr>
      <w:vertAlign w:val="superscript"/>
    </w:rPr>
  </w:style>
  <w:style w:type="character" w:customStyle="1" w:styleId="Heading4Char">
    <w:name w:val="Heading 4 Char"/>
    <w:basedOn w:val="DefaultParagraphFont"/>
    <w:link w:val="Heading4"/>
    <w:rsid w:val="00EF0B62"/>
    <w:rPr>
      <w:rFonts w:ascii="Segoe UI" w:eastAsia="Times New Roman" w:hAnsi="Segoe UI"/>
      <w:b/>
      <w:i/>
      <w:iCs/>
      <w:color w:val="08193E"/>
      <w:sz w:val="24"/>
      <w:szCs w:val="22"/>
      <w:lang w:eastAsia="en-US"/>
    </w:rPr>
  </w:style>
  <w:style w:type="character" w:customStyle="1" w:styleId="Heading5Char">
    <w:name w:val="Heading 5 Char"/>
    <w:basedOn w:val="DefaultParagraphFont"/>
    <w:link w:val="Heading5"/>
    <w:uiPriority w:val="9"/>
    <w:semiHidden/>
    <w:rsid w:val="0063502B"/>
    <w:rPr>
      <w:rFonts w:ascii="Cambria" w:eastAsia="Times New Roman" w:hAnsi="Cambria"/>
      <w:i/>
      <w:color w:val="1F497D"/>
      <w:sz w:val="24"/>
      <w:szCs w:val="22"/>
      <w:lang w:eastAsia="en-US"/>
    </w:rPr>
  </w:style>
  <w:style w:type="character" w:styleId="BookTitle">
    <w:name w:val="Book Title"/>
    <w:basedOn w:val="DefaultParagraphFont"/>
    <w:uiPriority w:val="33"/>
    <w:semiHidden/>
    <w:qFormat/>
    <w:rsid w:val="00774484"/>
    <w:rPr>
      <w:b/>
      <w:bCs/>
      <w:smallCaps/>
      <w:spacing w:val="5"/>
    </w:rPr>
  </w:style>
  <w:style w:type="paragraph" w:customStyle="1" w:styleId="ExecSummaryH3">
    <w:name w:val="Exec Summary H3"/>
    <w:basedOn w:val="Heading3"/>
    <w:next w:val="Normal"/>
    <w:qFormat/>
    <w:rsid w:val="00900EAD"/>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A404DE"/>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117998"/>
    <w:pPr>
      <w:numPr>
        <w:ilvl w:val="0"/>
        <w:numId w:val="0"/>
      </w:numPr>
    </w:pPr>
  </w:style>
  <w:style w:type="paragraph" w:customStyle="1" w:styleId="Boxheading">
    <w:name w:val="Box heading"/>
    <w:basedOn w:val="Normal"/>
    <w:next w:val="Boxtext0"/>
    <w:autoRedefine/>
    <w:qFormat/>
    <w:rsid w:val="0092386E"/>
    <w:pPr>
      <w:keepNext/>
      <w:shd w:val="clear" w:color="auto" w:fill="F2CEA1"/>
      <w:spacing w:after="0" w:line="240" w:lineRule="auto"/>
      <w:ind w:left="1138" w:hanging="1138"/>
    </w:pPr>
    <w:rPr>
      <w:b/>
      <w:sz w:val="20"/>
    </w:rPr>
  </w:style>
  <w:style w:type="paragraph" w:customStyle="1" w:styleId="Boxtext0">
    <w:name w:val="Box text"/>
    <w:basedOn w:val="Tablebodytext"/>
    <w:qFormat/>
    <w:rsid w:val="00DD7BE2"/>
    <w:pPr>
      <w:shd w:val="clear" w:color="auto" w:fill="F2CEA1"/>
      <w:spacing w:after="120"/>
    </w:pPr>
  </w:style>
  <w:style w:type="paragraph" w:customStyle="1" w:styleId="Boxbullets">
    <w:name w:val="Box bullets"/>
    <w:basedOn w:val="Tablebullet"/>
    <w:qFormat/>
    <w:rsid w:val="00DD7BE2"/>
    <w:pPr>
      <w:numPr>
        <w:numId w:val="8"/>
      </w:numPr>
      <w:shd w:val="clear" w:color="auto" w:fill="F2CEA1"/>
      <w:ind w:left="227" w:hanging="227"/>
    </w:pPr>
  </w:style>
  <w:style w:type="character" w:styleId="PageNumber">
    <w:name w:val="page number"/>
    <w:basedOn w:val="DefaultParagraphFont"/>
    <w:semiHidden/>
    <w:rsid w:val="00E674D4"/>
  </w:style>
  <w:style w:type="paragraph" w:styleId="TOC4">
    <w:name w:val="toc 4"/>
    <w:basedOn w:val="Normal"/>
    <w:next w:val="Normal"/>
    <w:autoRedefine/>
    <w:semiHidden/>
    <w:rsid w:val="00D57AEF"/>
    <w:pPr>
      <w:tabs>
        <w:tab w:val="right" w:leader="dot" w:pos="9060"/>
      </w:tabs>
      <w:spacing w:before="40" w:after="0" w:line="240" w:lineRule="auto"/>
      <w:ind w:left="1701"/>
    </w:pPr>
    <w:rPr>
      <w:i/>
      <w:noProof/>
      <w:sz w:val="20"/>
      <w:szCs w:val="20"/>
    </w:rPr>
  </w:style>
  <w:style w:type="paragraph" w:customStyle="1" w:styleId="Tablecolumnheading">
    <w:name w:val="Table column heading"/>
    <w:basedOn w:val="Tablebodytext"/>
    <w:qFormat/>
    <w:rsid w:val="00931E0B"/>
    <w:rPr>
      <w:b/>
      <w:bCs/>
      <w:color w:val="FFFFFF"/>
    </w:rPr>
  </w:style>
  <w:style w:type="paragraph" w:customStyle="1" w:styleId="Tablecolumnheadingdata">
    <w:name w:val="Table column heading data"/>
    <w:basedOn w:val="Tablecolumnheading"/>
    <w:rsid w:val="00931E0B"/>
    <w:pPr>
      <w:jc w:val="right"/>
    </w:pPr>
    <w:rPr>
      <w:rFonts w:eastAsia="Times New Roman"/>
      <w:szCs w:val="20"/>
    </w:rPr>
  </w:style>
  <w:style w:type="paragraph" w:customStyle="1" w:styleId="Tabledata">
    <w:name w:val="Table data"/>
    <w:basedOn w:val="Tablebodytext"/>
    <w:qFormat/>
    <w:rsid w:val="00931E0B"/>
    <w:pPr>
      <w:jc w:val="right"/>
    </w:pPr>
    <w:rPr>
      <w:rFonts w:eastAsia="Times New Roman"/>
      <w:szCs w:val="20"/>
    </w:rPr>
  </w:style>
  <w:style w:type="numbering" w:customStyle="1" w:styleId="TableBullet0">
    <w:name w:val="Table Bullet"/>
    <w:basedOn w:val="NoList"/>
    <w:rsid w:val="005D5668"/>
    <w:pPr>
      <w:numPr>
        <w:numId w:val="2"/>
      </w:numPr>
    </w:pPr>
  </w:style>
  <w:style w:type="numbering" w:customStyle="1" w:styleId="TableBulletDash">
    <w:name w:val="Table Bullet Dash"/>
    <w:basedOn w:val="NoList"/>
    <w:rsid w:val="005D5668"/>
    <w:pPr>
      <w:numPr>
        <w:numId w:val="3"/>
      </w:numPr>
    </w:pPr>
  </w:style>
  <w:style w:type="paragraph" w:styleId="Index1">
    <w:name w:val="index 1"/>
    <w:basedOn w:val="Normal"/>
    <w:next w:val="Normal"/>
    <w:autoRedefine/>
    <w:semiHidden/>
    <w:rsid w:val="00A404DE"/>
    <w:pPr>
      <w:ind w:left="210" w:hanging="210"/>
    </w:pPr>
  </w:style>
  <w:style w:type="numbering" w:customStyle="1" w:styleId="NumberedList">
    <w:name w:val="Numbered List"/>
    <w:basedOn w:val="NoList"/>
    <w:rsid w:val="00980457"/>
    <w:pPr>
      <w:numPr>
        <w:numId w:val="4"/>
      </w:numPr>
    </w:pPr>
  </w:style>
  <w:style w:type="paragraph" w:customStyle="1" w:styleId="Listletterlevel2">
    <w:name w:val="List letter (level 2)"/>
    <w:basedOn w:val="ListNumber"/>
    <w:qFormat/>
    <w:rsid w:val="00AF117A"/>
    <w:pPr>
      <w:numPr>
        <w:ilvl w:val="1"/>
      </w:numPr>
    </w:pPr>
  </w:style>
  <w:style w:type="paragraph" w:styleId="Quote">
    <w:name w:val="Quote"/>
    <w:basedOn w:val="Normal"/>
    <w:next w:val="Normal"/>
    <w:link w:val="QuoteChar"/>
    <w:uiPriority w:val="29"/>
    <w:qFormat/>
    <w:rsid w:val="00C56FCE"/>
    <w:pPr>
      <w:ind w:left="454"/>
    </w:pPr>
    <w:rPr>
      <w:i/>
      <w:iCs/>
    </w:rPr>
  </w:style>
  <w:style w:type="character" w:customStyle="1" w:styleId="QuoteChar">
    <w:name w:val="Quote Char"/>
    <w:basedOn w:val="DefaultParagraphFont"/>
    <w:link w:val="Quote"/>
    <w:uiPriority w:val="29"/>
    <w:rsid w:val="00C56FCE"/>
    <w:rPr>
      <w:rFonts w:ascii="Cambria" w:hAnsi="Cambria"/>
      <w:i/>
      <w:iCs/>
      <w:sz w:val="22"/>
      <w:szCs w:val="22"/>
      <w:lang w:eastAsia="en-US"/>
    </w:rPr>
  </w:style>
  <w:style w:type="paragraph" w:customStyle="1" w:styleId="ARTDcompanydetails">
    <w:name w:val="ARTD company details"/>
    <w:basedOn w:val="Reportdate"/>
    <w:uiPriority w:val="1"/>
    <w:rsid w:val="00A832B3"/>
    <w:pPr>
      <w:spacing w:after="0"/>
    </w:pPr>
    <w:rPr>
      <w:rFonts w:cs="Segoe UI"/>
      <w:bCs/>
      <w:color w:val="08193E"/>
      <w:sz w:val="16"/>
      <w:szCs w:val="20"/>
    </w:rPr>
  </w:style>
  <w:style w:type="paragraph" w:customStyle="1" w:styleId="FrontPage">
    <w:name w:val="FrontPage"/>
    <w:basedOn w:val="Normal"/>
    <w:semiHidden/>
    <w:qFormat/>
    <w:rsid w:val="00147661"/>
    <w:pPr>
      <w:spacing w:after="3320" w:line="240" w:lineRule="auto"/>
    </w:pPr>
  </w:style>
  <w:style w:type="paragraph" w:styleId="ListBullet">
    <w:name w:val="List Bullet"/>
    <w:basedOn w:val="Normal"/>
    <w:uiPriority w:val="99"/>
    <w:unhideWhenUsed/>
    <w:qFormat/>
    <w:rsid w:val="00AF117A"/>
    <w:pPr>
      <w:numPr>
        <w:numId w:val="15"/>
      </w:numPr>
      <w:spacing w:after="0" w:line="240" w:lineRule="auto"/>
    </w:pPr>
  </w:style>
  <w:style w:type="numbering" w:customStyle="1" w:styleId="Headings">
    <w:name w:val="Headings"/>
    <w:uiPriority w:val="99"/>
    <w:rsid w:val="00EF151F"/>
    <w:pPr>
      <w:numPr>
        <w:numId w:val="5"/>
      </w:numPr>
    </w:pPr>
  </w:style>
  <w:style w:type="numbering" w:customStyle="1" w:styleId="Bullets">
    <w:name w:val="Bullets"/>
    <w:uiPriority w:val="99"/>
    <w:rsid w:val="00AF117A"/>
    <w:pPr>
      <w:numPr>
        <w:numId w:val="7"/>
      </w:numPr>
    </w:pPr>
  </w:style>
  <w:style w:type="paragraph" w:styleId="ListNumber">
    <w:name w:val="List Number"/>
    <w:basedOn w:val="Normal"/>
    <w:uiPriority w:val="99"/>
    <w:unhideWhenUsed/>
    <w:qFormat/>
    <w:rsid w:val="00AF117A"/>
    <w:pPr>
      <w:numPr>
        <w:numId w:val="14"/>
      </w:numPr>
      <w:spacing w:after="0" w:line="240" w:lineRule="auto"/>
    </w:pPr>
  </w:style>
  <w:style w:type="table" w:customStyle="1" w:styleId="ARTDTable">
    <w:name w:val="ARTD_Table"/>
    <w:basedOn w:val="TableNormal"/>
    <w:uiPriority w:val="99"/>
    <w:rsid w:val="00142D6A"/>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table" w:customStyle="1" w:styleId="ARTDTable2">
    <w:name w:val="ARTD_Table_2"/>
    <w:basedOn w:val="TableNormal"/>
    <w:uiPriority w:val="99"/>
    <w:rsid w:val="00431C6B"/>
    <w:rPr>
      <w:rFonts w:asciiTheme="majorHAnsi" w:hAnsiTheme="majorHAnsi"/>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tblPr/>
      <w:trPr>
        <w:cantSplit w:val="0"/>
        <w:tblHeader/>
      </w:trPr>
      <w:tcPr>
        <w:shd w:val="clear" w:color="auto" w:fill="08193E"/>
      </w:tcPr>
    </w:tblStylePr>
    <w:tblStylePr w:type="lastRow">
      <w:rPr>
        <w:b/>
      </w:rPr>
      <w:tblPr/>
      <w:tcPr>
        <w:tcBorders>
          <w:top w:val="single" w:sz="4" w:space="0" w:color="08193E" w:themeColor="text1"/>
          <w:bottom w:val="single" w:sz="4" w:space="0" w:color="08193E" w:themeColor="text1"/>
        </w:tcBorders>
        <w:shd w:val="clear" w:color="auto" w:fill="auto"/>
      </w:tcPr>
    </w:tblStylePr>
    <w:tblStylePr w:type="band2Horz">
      <w:tblPr/>
      <w:tcPr>
        <w:shd w:val="clear" w:color="auto" w:fill="F0F1E9"/>
      </w:tcPr>
    </w:tblStylePr>
  </w:style>
  <w:style w:type="paragraph" w:customStyle="1" w:styleId="TableHeading">
    <w:name w:val="Table Heading"/>
    <w:basedOn w:val="Normal"/>
    <w:next w:val="Normal"/>
    <w:qFormat/>
    <w:rsid w:val="003062E1"/>
    <w:pPr>
      <w:numPr>
        <w:numId w:val="12"/>
      </w:numPr>
      <w:spacing w:before="480" w:line="240" w:lineRule="auto"/>
    </w:pPr>
    <w:rPr>
      <w:b/>
    </w:rPr>
  </w:style>
  <w:style w:type="paragraph" w:customStyle="1" w:styleId="FigureHeading">
    <w:name w:val="Figure Heading"/>
    <w:basedOn w:val="TableHeading"/>
    <w:next w:val="Normal"/>
    <w:uiPriority w:val="1"/>
    <w:qFormat/>
    <w:rsid w:val="003062E1"/>
    <w:pPr>
      <w:keepNext/>
      <w:numPr>
        <w:numId w:val="11"/>
      </w:numPr>
    </w:pPr>
  </w:style>
  <w:style w:type="numbering" w:customStyle="1" w:styleId="TableNumbers">
    <w:name w:val="TableNumbers"/>
    <w:uiPriority w:val="99"/>
    <w:rsid w:val="003062E1"/>
    <w:pPr>
      <w:numPr>
        <w:numId w:val="9"/>
      </w:numPr>
    </w:pPr>
  </w:style>
  <w:style w:type="numbering" w:customStyle="1" w:styleId="FigureNumbers">
    <w:name w:val="FigureNumbers"/>
    <w:uiPriority w:val="99"/>
    <w:rsid w:val="003062E1"/>
    <w:pPr>
      <w:numPr>
        <w:numId w:val="10"/>
      </w:numPr>
    </w:pPr>
  </w:style>
  <w:style w:type="paragraph" w:styleId="Caption">
    <w:name w:val="caption"/>
    <w:basedOn w:val="Normal"/>
    <w:next w:val="Normal"/>
    <w:uiPriority w:val="35"/>
    <w:unhideWhenUsed/>
    <w:qFormat/>
    <w:rsid w:val="00807725"/>
    <w:pPr>
      <w:spacing w:after="200" w:line="240" w:lineRule="auto"/>
    </w:pPr>
    <w:rPr>
      <w:b/>
      <w:bCs/>
      <w:color w:val="08193E"/>
      <w:sz w:val="18"/>
      <w:szCs w:val="18"/>
    </w:rPr>
  </w:style>
  <w:style w:type="numbering" w:customStyle="1" w:styleId="Numbers">
    <w:name w:val="Numbers"/>
    <w:uiPriority w:val="99"/>
    <w:rsid w:val="00AF117A"/>
    <w:pPr>
      <w:numPr>
        <w:numId w:val="13"/>
      </w:numPr>
    </w:pPr>
  </w:style>
  <w:style w:type="paragraph" w:customStyle="1" w:styleId="GeneralHeading2">
    <w:name w:val="General Heading 2"/>
    <w:basedOn w:val="Heading2"/>
    <w:next w:val="Normal"/>
    <w:qFormat/>
    <w:rsid w:val="00807725"/>
    <w:pPr>
      <w:numPr>
        <w:ilvl w:val="0"/>
        <w:numId w:val="16"/>
      </w:numPr>
    </w:pPr>
  </w:style>
  <w:style w:type="paragraph" w:customStyle="1" w:styleId="Appendix">
    <w:name w:val="Appendix"/>
    <w:basedOn w:val="Heading1"/>
    <w:next w:val="Normal"/>
    <w:link w:val="AppendixChar"/>
    <w:qFormat/>
    <w:rsid w:val="001334F9"/>
    <w:pPr>
      <w:numPr>
        <w:numId w:val="17"/>
      </w:numPr>
      <w:tabs>
        <w:tab w:val="left" w:pos="2835"/>
      </w:tabs>
    </w:pPr>
    <w:rPr>
      <w:color w:val="FFFFFF" w:themeColor="background1"/>
    </w:rPr>
  </w:style>
  <w:style w:type="character" w:customStyle="1" w:styleId="AppendixChar">
    <w:name w:val="Appendix Char"/>
    <w:link w:val="Appendix"/>
    <w:rsid w:val="001334F9"/>
    <w:rPr>
      <w:rFonts w:ascii="Segoe UI" w:eastAsia="Times New Roman" w:hAnsi="Segoe UI"/>
      <w:b/>
      <w:bCs/>
      <w:color w:val="FFFFFF" w:themeColor="background1"/>
      <w:sz w:val="40"/>
      <w:szCs w:val="28"/>
      <w:shd w:val="clear" w:color="auto" w:fill="08193E"/>
      <w:lang w:eastAsia="en-US"/>
    </w:rPr>
  </w:style>
  <w:style w:type="paragraph" w:customStyle="1" w:styleId="ProjexHead">
    <w:name w:val="Proj ex Head"/>
    <w:basedOn w:val="Normal"/>
    <w:qFormat/>
    <w:rsid w:val="00142D6A"/>
    <w:pPr>
      <w:spacing w:before="240" w:after="0" w:line="240" w:lineRule="auto"/>
      <w:ind w:left="340"/>
    </w:pPr>
    <w:rPr>
      <w:rFonts w:cs="Segoe UI"/>
      <w:b/>
    </w:rPr>
  </w:style>
  <w:style w:type="paragraph" w:customStyle="1" w:styleId="ProjexText">
    <w:name w:val="Proj ex Text"/>
    <w:basedOn w:val="Normal"/>
    <w:qFormat/>
    <w:rsid w:val="00142D6A"/>
    <w:pPr>
      <w:spacing w:after="0" w:line="240" w:lineRule="auto"/>
      <w:ind w:left="340"/>
    </w:pPr>
    <w:rPr>
      <w:rFonts w:cs="Segoe UI"/>
      <w:sz w:val="20"/>
    </w:rPr>
  </w:style>
  <w:style w:type="paragraph" w:customStyle="1" w:styleId="Reporttype">
    <w:name w:val="Report type"/>
    <w:basedOn w:val="Normal"/>
    <w:next w:val="Reportperiod"/>
    <w:qFormat/>
    <w:rsid w:val="001C703D"/>
    <w:pPr>
      <w:spacing w:before="240" w:after="120" w:line="240" w:lineRule="auto"/>
      <w:jc w:val="right"/>
    </w:pPr>
    <w:rPr>
      <w:rFonts w:cs="Segoe UI"/>
      <w:smallCaps/>
      <w:color w:val="08193E"/>
      <w:sz w:val="32"/>
      <w:szCs w:val="32"/>
    </w:rPr>
  </w:style>
  <w:style w:type="paragraph" w:customStyle="1" w:styleId="Reportperiod">
    <w:name w:val="Report period"/>
    <w:basedOn w:val="Normal"/>
    <w:qFormat/>
    <w:rsid w:val="001C703D"/>
    <w:pPr>
      <w:spacing w:before="240" w:after="120" w:line="240" w:lineRule="auto"/>
      <w:jc w:val="right"/>
    </w:pPr>
    <w:rPr>
      <w:rFonts w:cs="Segoe UI"/>
      <w:smallCaps/>
      <w:color w:val="08193E"/>
      <w:sz w:val="24"/>
    </w:rPr>
  </w:style>
  <w:style w:type="paragraph" w:customStyle="1" w:styleId="TOCHeading2">
    <w:name w:val="TOC Heading 2"/>
    <w:basedOn w:val="ExecSummaryH2"/>
    <w:qFormat/>
    <w:rsid w:val="000C308E"/>
    <w:rPr>
      <w:rFonts w:cs="Segoe UI"/>
    </w:rPr>
  </w:style>
  <w:style w:type="character" w:styleId="CommentReference">
    <w:name w:val="annotation reference"/>
    <w:basedOn w:val="DefaultParagraphFont"/>
    <w:uiPriority w:val="99"/>
    <w:semiHidden/>
    <w:unhideWhenUsed/>
    <w:rsid w:val="000B1B50"/>
    <w:rPr>
      <w:sz w:val="16"/>
      <w:szCs w:val="16"/>
    </w:rPr>
  </w:style>
  <w:style w:type="paragraph" w:styleId="CommentText">
    <w:name w:val="annotation text"/>
    <w:basedOn w:val="Normal"/>
    <w:link w:val="CommentTextChar"/>
    <w:uiPriority w:val="99"/>
    <w:unhideWhenUsed/>
    <w:rsid w:val="000B1B50"/>
    <w:pPr>
      <w:spacing w:line="240" w:lineRule="auto"/>
    </w:pPr>
    <w:rPr>
      <w:sz w:val="20"/>
      <w:szCs w:val="20"/>
    </w:rPr>
  </w:style>
  <w:style w:type="character" w:customStyle="1" w:styleId="CommentTextChar">
    <w:name w:val="Comment Text Char"/>
    <w:basedOn w:val="DefaultParagraphFont"/>
    <w:link w:val="CommentText"/>
    <w:uiPriority w:val="99"/>
    <w:rsid w:val="000B1B50"/>
    <w:rPr>
      <w:rFonts w:ascii="Segoe UI" w:hAnsi="Segoe UI"/>
      <w:lang w:eastAsia="en-US"/>
    </w:rPr>
  </w:style>
  <w:style w:type="paragraph" w:styleId="CommentSubject">
    <w:name w:val="annotation subject"/>
    <w:basedOn w:val="CommentText"/>
    <w:next w:val="CommentText"/>
    <w:link w:val="CommentSubjectChar"/>
    <w:uiPriority w:val="99"/>
    <w:semiHidden/>
    <w:unhideWhenUsed/>
    <w:rsid w:val="000B1B50"/>
    <w:rPr>
      <w:b/>
      <w:bCs/>
    </w:rPr>
  </w:style>
  <w:style w:type="character" w:customStyle="1" w:styleId="CommentSubjectChar">
    <w:name w:val="Comment Subject Char"/>
    <w:basedOn w:val="CommentTextChar"/>
    <w:link w:val="CommentSubject"/>
    <w:uiPriority w:val="99"/>
    <w:semiHidden/>
    <w:rsid w:val="000B1B50"/>
    <w:rPr>
      <w:rFonts w:ascii="Segoe UI" w:hAnsi="Segoe UI"/>
      <w:b/>
      <w:bCs/>
      <w:lang w:eastAsia="en-US"/>
    </w:rPr>
  </w:style>
  <w:style w:type="paragraph" w:customStyle="1" w:styleId="aaMATRIXReviewQuestions">
    <w:name w:val="aa MATRIX Review Questions"/>
    <w:basedOn w:val="ListNumber"/>
    <w:qFormat/>
    <w:rsid w:val="00BE6A0E"/>
    <w:pPr>
      <w:numPr>
        <w:numId w:val="0"/>
      </w:numPr>
      <w:tabs>
        <w:tab w:val="num" w:pos="454"/>
      </w:tabs>
      <w:ind w:left="454" w:hanging="454"/>
    </w:pPr>
    <w:rPr>
      <w:sz w:val="18"/>
    </w:rPr>
  </w:style>
  <w:style w:type="paragraph" w:styleId="ListParagraph">
    <w:name w:val="List Paragraph"/>
    <w:basedOn w:val="Normal"/>
    <w:uiPriority w:val="99"/>
    <w:qFormat/>
    <w:rsid w:val="007F4EF5"/>
    <w:pPr>
      <w:ind w:left="720"/>
      <w:contextualSpacing/>
    </w:pPr>
    <w:rPr>
      <w:rFonts w:ascii="Open Sans" w:eastAsia="Open Sans" w:hAnsi="Open Sans" w:cs="Open Sans"/>
      <w:lang w:eastAsia="en-AU"/>
    </w:rPr>
  </w:style>
  <w:style w:type="paragraph" w:styleId="Revision">
    <w:name w:val="Revision"/>
    <w:hidden/>
    <w:uiPriority w:val="99"/>
    <w:semiHidden/>
    <w:rsid w:val="00E97DCF"/>
    <w:rPr>
      <w:rFonts w:ascii="Segoe UI" w:hAnsi="Segoe UI"/>
      <w:sz w:val="22"/>
      <w:szCs w:val="22"/>
      <w:lang w:eastAsia="en-US"/>
    </w:rPr>
  </w:style>
  <w:style w:type="character" w:customStyle="1" w:styleId="UnresolvedMention1">
    <w:name w:val="Unresolved Mention1"/>
    <w:basedOn w:val="DefaultParagraphFont"/>
    <w:uiPriority w:val="99"/>
    <w:semiHidden/>
    <w:unhideWhenUsed/>
    <w:rsid w:val="00830A28"/>
    <w:rPr>
      <w:color w:val="605E5C"/>
      <w:shd w:val="clear" w:color="auto" w:fill="E1DFDD"/>
    </w:rPr>
  </w:style>
  <w:style w:type="paragraph" w:customStyle="1" w:styleId="aaRec">
    <w:name w:val="aa Rec"/>
    <w:basedOn w:val="Normal"/>
    <w:qFormat/>
    <w:rsid w:val="00706477"/>
    <w:pPr>
      <w:ind w:left="454" w:right="454"/>
    </w:pPr>
    <w:rPr>
      <w:i/>
    </w:rPr>
  </w:style>
  <w:style w:type="paragraph" w:customStyle="1" w:styleId="aaaRechead">
    <w:name w:val="aaa Rec head"/>
    <w:basedOn w:val="Heading4"/>
    <w:qFormat/>
    <w:rsid w:val="00706477"/>
    <w:pPr>
      <w:spacing w:after="0"/>
      <w:ind w:left="454"/>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82300">
      <w:bodyDiv w:val="1"/>
      <w:marLeft w:val="0"/>
      <w:marRight w:val="0"/>
      <w:marTop w:val="0"/>
      <w:marBottom w:val="0"/>
      <w:divBdr>
        <w:top w:val="none" w:sz="0" w:space="0" w:color="auto"/>
        <w:left w:val="none" w:sz="0" w:space="0" w:color="auto"/>
        <w:bottom w:val="none" w:sz="0" w:space="0" w:color="auto"/>
        <w:right w:val="none" w:sz="0" w:space="0" w:color="auto"/>
      </w:divBdr>
    </w:div>
    <w:div w:id="123893786">
      <w:bodyDiv w:val="1"/>
      <w:marLeft w:val="0"/>
      <w:marRight w:val="0"/>
      <w:marTop w:val="0"/>
      <w:marBottom w:val="0"/>
      <w:divBdr>
        <w:top w:val="none" w:sz="0" w:space="0" w:color="auto"/>
        <w:left w:val="none" w:sz="0" w:space="0" w:color="auto"/>
        <w:bottom w:val="none" w:sz="0" w:space="0" w:color="auto"/>
        <w:right w:val="none" w:sz="0" w:space="0" w:color="auto"/>
      </w:divBdr>
    </w:div>
    <w:div w:id="262959885">
      <w:bodyDiv w:val="1"/>
      <w:marLeft w:val="0"/>
      <w:marRight w:val="0"/>
      <w:marTop w:val="0"/>
      <w:marBottom w:val="0"/>
      <w:divBdr>
        <w:top w:val="none" w:sz="0" w:space="0" w:color="auto"/>
        <w:left w:val="none" w:sz="0" w:space="0" w:color="auto"/>
        <w:bottom w:val="none" w:sz="0" w:space="0" w:color="auto"/>
        <w:right w:val="none" w:sz="0" w:space="0" w:color="auto"/>
      </w:divBdr>
    </w:div>
    <w:div w:id="311175581">
      <w:bodyDiv w:val="1"/>
      <w:marLeft w:val="0"/>
      <w:marRight w:val="0"/>
      <w:marTop w:val="0"/>
      <w:marBottom w:val="0"/>
      <w:divBdr>
        <w:top w:val="none" w:sz="0" w:space="0" w:color="auto"/>
        <w:left w:val="none" w:sz="0" w:space="0" w:color="auto"/>
        <w:bottom w:val="none" w:sz="0" w:space="0" w:color="auto"/>
        <w:right w:val="none" w:sz="0" w:space="0" w:color="auto"/>
      </w:divBdr>
    </w:div>
    <w:div w:id="639770052">
      <w:bodyDiv w:val="1"/>
      <w:marLeft w:val="0"/>
      <w:marRight w:val="0"/>
      <w:marTop w:val="0"/>
      <w:marBottom w:val="0"/>
      <w:divBdr>
        <w:top w:val="none" w:sz="0" w:space="0" w:color="auto"/>
        <w:left w:val="none" w:sz="0" w:space="0" w:color="auto"/>
        <w:bottom w:val="none" w:sz="0" w:space="0" w:color="auto"/>
        <w:right w:val="none" w:sz="0" w:space="0" w:color="auto"/>
      </w:divBdr>
    </w:div>
    <w:div w:id="738749300">
      <w:bodyDiv w:val="1"/>
      <w:marLeft w:val="0"/>
      <w:marRight w:val="0"/>
      <w:marTop w:val="0"/>
      <w:marBottom w:val="0"/>
      <w:divBdr>
        <w:top w:val="none" w:sz="0" w:space="0" w:color="auto"/>
        <w:left w:val="none" w:sz="0" w:space="0" w:color="auto"/>
        <w:bottom w:val="none" w:sz="0" w:space="0" w:color="auto"/>
        <w:right w:val="none" w:sz="0" w:space="0" w:color="auto"/>
      </w:divBdr>
    </w:div>
    <w:div w:id="912468810">
      <w:bodyDiv w:val="1"/>
      <w:marLeft w:val="0"/>
      <w:marRight w:val="0"/>
      <w:marTop w:val="0"/>
      <w:marBottom w:val="0"/>
      <w:divBdr>
        <w:top w:val="none" w:sz="0" w:space="0" w:color="auto"/>
        <w:left w:val="none" w:sz="0" w:space="0" w:color="auto"/>
        <w:bottom w:val="none" w:sz="0" w:space="0" w:color="auto"/>
        <w:right w:val="none" w:sz="0" w:space="0" w:color="auto"/>
      </w:divBdr>
    </w:div>
    <w:div w:id="1073699724">
      <w:bodyDiv w:val="1"/>
      <w:marLeft w:val="0"/>
      <w:marRight w:val="0"/>
      <w:marTop w:val="0"/>
      <w:marBottom w:val="0"/>
      <w:divBdr>
        <w:top w:val="none" w:sz="0" w:space="0" w:color="auto"/>
        <w:left w:val="none" w:sz="0" w:space="0" w:color="auto"/>
        <w:bottom w:val="none" w:sz="0" w:space="0" w:color="auto"/>
        <w:right w:val="none" w:sz="0" w:space="0" w:color="auto"/>
      </w:divBdr>
    </w:div>
    <w:div w:id="1195998888">
      <w:bodyDiv w:val="1"/>
      <w:marLeft w:val="0"/>
      <w:marRight w:val="0"/>
      <w:marTop w:val="0"/>
      <w:marBottom w:val="0"/>
      <w:divBdr>
        <w:top w:val="none" w:sz="0" w:space="0" w:color="auto"/>
        <w:left w:val="none" w:sz="0" w:space="0" w:color="auto"/>
        <w:bottom w:val="none" w:sz="0" w:space="0" w:color="auto"/>
        <w:right w:val="none" w:sz="0" w:space="0" w:color="auto"/>
      </w:divBdr>
    </w:div>
    <w:div w:id="1400320389">
      <w:bodyDiv w:val="1"/>
      <w:marLeft w:val="0"/>
      <w:marRight w:val="0"/>
      <w:marTop w:val="0"/>
      <w:marBottom w:val="0"/>
      <w:divBdr>
        <w:top w:val="none" w:sz="0" w:space="0" w:color="auto"/>
        <w:left w:val="none" w:sz="0" w:space="0" w:color="auto"/>
        <w:bottom w:val="none" w:sz="0" w:space="0" w:color="auto"/>
        <w:right w:val="none" w:sz="0" w:space="0" w:color="auto"/>
      </w:divBdr>
    </w:div>
    <w:div w:id="1602684697">
      <w:bodyDiv w:val="1"/>
      <w:marLeft w:val="0"/>
      <w:marRight w:val="0"/>
      <w:marTop w:val="0"/>
      <w:marBottom w:val="0"/>
      <w:divBdr>
        <w:top w:val="none" w:sz="0" w:space="0" w:color="auto"/>
        <w:left w:val="none" w:sz="0" w:space="0" w:color="auto"/>
        <w:bottom w:val="none" w:sz="0" w:space="0" w:color="auto"/>
        <w:right w:val="none" w:sz="0" w:space="0" w:color="auto"/>
      </w:divBdr>
    </w:div>
    <w:div w:id="201498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dustry.nsw.gov.au/__data/assets/pdf_file/0019/131905/Matthews-final-report-NSW-water-management-and-compliance.pdf"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c.gov.au/inquiries/completed/basin-plan/report"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nao.gov.au/work/performance-audit/national-partnership-agreement-payments-state-and-territory-governments" TargetMode="External"/><Relationship Id="rId20" Type="http://schemas.openxmlformats.org/officeDocument/2006/relationships/hyperlink" Target="https://www.mdba.gov.au/publications/independent-reports/basin-compliance-compac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nao.gov.au/work/assurance-review/dept-agriculture-water-resources-assessment-nsw-protection-use-environmental-water-mdb" TargetMode="Externa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mdba.gov.au/publications/mdba-reports/murray-darling-basin-water-compliance-review"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mdba.gov.au/basin-plan-roll-out/basin-plan/basin-plan-timeline" TargetMode="External"/><Relationship Id="rId1" Type="http://schemas.openxmlformats.org/officeDocument/2006/relationships/hyperlink" Target="https://www.pc.gov.au/inquiries/completed/basin-plan/report/basin-pla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T:\ARTD%20business%20-%20overall%20company\Templates\Current%20Templates%20(live)\Core%20templates\3a%20-%20Standard%20report%20template.dotm" TargetMode="External"/></Relationships>
</file>

<file path=word/theme/theme1.xml><?xml version="1.0" encoding="utf-8"?>
<a:theme xmlns:a="http://schemas.openxmlformats.org/drawingml/2006/main" name="ARTD_20151015">
  <a:themeElements>
    <a:clrScheme name="ARTD">
      <a:dk1>
        <a:srgbClr val="08193E"/>
      </a:dk1>
      <a:lt1>
        <a:srgbClr val="FFFFFF"/>
      </a:lt1>
      <a:dk2>
        <a:srgbClr val="FFFFFF"/>
      </a:dk2>
      <a:lt2>
        <a:srgbClr val="FFFFFF"/>
      </a:lt2>
      <a:accent1>
        <a:srgbClr val="08193E"/>
      </a:accent1>
      <a:accent2>
        <a:srgbClr val="838C96"/>
      </a:accent2>
      <a:accent3>
        <a:srgbClr val="EB7633"/>
      </a:accent3>
      <a:accent4>
        <a:srgbClr val="F2CEA1"/>
      </a:accent4>
      <a:accent5>
        <a:srgbClr val="A7B27E"/>
      </a:accent5>
      <a:accent6>
        <a:srgbClr val="E1E5D4"/>
      </a:accent6>
      <a:hlink>
        <a:srgbClr val="08193E"/>
      </a:hlink>
      <a:folHlink>
        <a:srgbClr val="0070C0"/>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F5BA58B6C6B4A80DA1D405394CE64" ma:contentTypeVersion="4" ma:contentTypeDescription="Create a new document." ma:contentTypeScope="" ma:versionID="0d70c3538132979bfe1a1a580c7583d7">
  <xsd:schema xmlns:xsd="http://www.w3.org/2001/XMLSchema" xmlns:xs="http://www.w3.org/2001/XMLSchema" xmlns:p="http://schemas.microsoft.com/office/2006/metadata/properties" xmlns:ns1="http://schemas.microsoft.com/sharepoint/v3" xmlns:ns2="2ddb80b2-236e-4dc7-a0e1-73453f2b7b8e" xmlns:ns3="d195ef9c-78ce-4568-a8c4-4efcea3eb241" targetNamespace="http://schemas.microsoft.com/office/2006/metadata/properties" ma:root="true" ma:fieldsID="17d5ee8135028f9e96a65079e3fe2a15" ns1:_="" ns2:_="" ns3:_="">
    <xsd:import namespace="http://schemas.microsoft.com/sharepoint/v3"/>
    <xsd:import namespace="2ddb80b2-236e-4dc7-a0e1-73453f2b7b8e"/>
    <xsd:import namespace="d195ef9c-78ce-4568-a8c4-4efcea3eb241"/>
    <xsd:element name="properties">
      <xsd:complexType>
        <xsd:sequence>
          <xsd:element name="documentManagement">
            <xsd:complexType>
              <xsd:all>
                <xsd:element ref="ns1:PublishingStartDate" minOccurs="0"/>
                <xsd:element ref="ns1:PublishingExpirationDate" minOccurs="0"/>
                <xsd:element ref="ns2:RM8" minOccurs="0"/>
                <xsd:element ref="ns3:Filed_x0020_in_x0020_RM8" minOccurs="0"/>
                <xsd:element ref="ns3:RM8_x0020_Location_x0020_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db80b2-236e-4dc7-a0e1-73453f2b7b8e" elementFormDefault="qualified">
    <xsd:import namespace="http://schemas.microsoft.com/office/2006/documentManagement/types"/>
    <xsd:import namespace="http://schemas.microsoft.com/office/infopath/2007/PartnerControls"/>
    <xsd:element name="RM8" ma:index="10" nillable="true" ma:displayName="RM8" ma:default="1" ma:internalName="_x0052_M8">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95ef9c-78ce-4568-a8c4-4efcea3eb241" elementFormDefault="qualified">
    <xsd:import namespace="http://schemas.microsoft.com/office/2006/documentManagement/types"/>
    <xsd:import namespace="http://schemas.microsoft.com/office/infopath/2007/PartnerControls"/>
    <xsd:element name="Filed_x0020_in_x0020_RM8" ma:index="11" nillable="true" ma:displayName="Filed in RM8" ma:default="0" ma:internalName="Filed_x0020_in_x0020_RM8">
      <xsd:simpleType>
        <xsd:restriction base="dms:Boolean"/>
      </xsd:simpleType>
    </xsd:element>
    <xsd:element name="RM8_x0020_Location_x0020_Link" ma:index="12" nillable="true" ma:displayName="RM8 Location Link" ma:format="Hyperlink" ma:internalName="RM8_x0020_Location_x0020_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M8 xmlns="2ddb80b2-236e-4dc7-a0e1-73453f2b7b8e">true</RM8>
    <Filed_x0020_in_x0020_RM8 xmlns="d195ef9c-78ce-4568-a8c4-4efcea3eb241">false</Filed_x0020_in_x0020_RM8>
    <PublishingExpirationDate xmlns="http://schemas.microsoft.com/sharepoint/v3" xsi:nil="true"/>
    <RM8_x0020_Location_x0020_Link xmlns="d195ef9c-78ce-4568-a8c4-4efcea3eb241">
      <Url xsi:nil="true"/>
      <Description xsi:nil="true"/>
    </RM8_x0020_Location_x0020_Link>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94924-5227-4958-8366-F69F1FF4D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db80b2-236e-4dc7-a0e1-73453f2b7b8e"/>
    <ds:schemaRef ds:uri="d195ef9c-78ce-4568-a8c4-4efcea3e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0ADEA-2108-47F7-A45B-392EE010BFD7}">
  <ds:schemaRefs>
    <ds:schemaRef ds:uri="http://schemas.microsoft.com/sharepoint/v3/contenttype/forms"/>
  </ds:schemaRefs>
</ds:datastoreItem>
</file>

<file path=customXml/itemProps3.xml><?xml version="1.0" encoding="utf-8"?>
<ds:datastoreItem xmlns:ds="http://schemas.openxmlformats.org/officeDocument/2006/customXml" ds:itemID="{B72DC685-00C5-47E7-8C69-F947CCE6B928}">
  <ds:schemaRefs>
    <ds:schemaRef ds:uri="http://schemas.microsoft.com/sharepoint/v3"/>
    <ds:schemaRef ds:uri="2ddb80b2-236e-4dc7-a0e1-73453f2b7b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195ef9c-78ce-4568-a8c4-4efcea3eb241"/>
    <ds:schemaRef ds:uri="http://www.w3.org/XML/1998/namespace"/>
    <ds:schemaRef ds:uri="http://purl.org/dc/dcmitype/"/>
  </ds:schemaRefs>
</ds:datastoreItem>
</file>

<file path=customXml/itemProps4.xml><?xml version="1.0" encoding="utf-8"?>
<ds:datastoreItem xmlns:ds="http://schemas.openxmlformats.org/officeDocument/2006/customXml" ds:itemID="{6F6C95E3-9DEA-46FD-B63A-58EC8CB0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 - Standard report template.dotm</Template>
  <TotalTime>9</TotalTime>
  <Pages>53</Pages>
  <Words>15031</Words>
  <Characters>85679</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Company>ARTD</Company>
  <LinksUpToDate>false</LinksUpToDate>
  <CharactersWithSpaces>100509</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Odgers</dc:creator>
  <cp:keywords/>
  <dc:description/>
  <cp:lastModifiedBy>Cramond, Kate</cp:lastModifiedBy>
  <cp:revision>3</cp:revision>
  <cp:lastPrinted>2020-09-29T02:26:00Z</cp:lastPrinted>
  <dcterms:created xsi:type="dcterms:W3CDTF">2020-09-29T02:23:00Z</dcterms:created>
  <dcterms:modified xsi:type="dcterms:W3CDTF">2020-09-29T02:28:00Z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0x010100F67F5BA58B6C6B4A80DA1D405394CE64</vt:lpwstr>
  </property>
</Properties>
</file>